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48685DA7"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6FA7B6CF"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101D202F" w14:textId="77777777" w:rsidR="0026513E" w:rsidRPr="00084B49" w:rsidRDefault="00547D03" w:rsidP="00795C6B">
            <w:pPr>
              <w:pStyle w:val="Ttulo2"/>
              <w:ind w:left="72" w:right="72"/>
              <w:jc w:val="left"/>
              <w:rPr>
                <w:rFonts w:cs="Arial"/>
                <w:b w:val="0"/>
                <w:i/>
                <w:color w:val="808080"/>
                <w:sz w:val="22"/>
                <w:szCs w:val="22"/>
              </w:rPr>
            </w:pPr>
            <w:r>
              <w:rPr>
                <w:rFonts w:cs="Arial"/>
                <w:b w:val="0"/>
                <w:i/>
                <w:color w:val="808080"/>
                <w:sz w:val="22"/>
                <w:szCs w:val="22"/>
              </w:rPr>
              <w:t>Depa</w:t>
            </w:r>
            <w:r w:rsidR="006473B4">
              <w:rPr>
                <w:rFonts w:cs="Arial"/>
                <w:b w:val="0"/>
                <w:i/>
                <w:color w:val="808080"/>
                <w:sz w:val="22"/>
                <w:szCs w:val="22"/>
              </w:rPr>
              <w:t>rtamento Administrativo para la Prosperidad Social</w:t>
            </w:r>
          </w:p>
        </w:tc>
      </w:tr>
      <w:tr w:rsidR="005C4522" w:rsidRPr="009F7CED" w14:paraId="2CB879EC" w14:textId="77777777" w:rsidTr="00162963">
        <w:trPr>
          <w:trHeight w:val="371"/>
        </w:trPr>
        <w:tc>
          <w:tcPr>
            <w:tcW w:w="3434" w:type="dxa"/>
            <w:tcBorders>
              <w:top w:val="single" w:sz="4" w:space="0" w:color="auto"/>
              <w:bottom w:val="single" w:sz="4" w:space="0" w:color="auto"/>
              <w:right w:val="single" w:sz="4" w:space="0" w:color="auto"/>
            </w:tcBorders>
            <w:shd w:val="clear" w:color="auto" w:fill="5B8AFF"/>
            <w:vAlign w:val="center"/>
          </w:tcPr>
          <w:p w14:paraId="66DD9A72"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5E7AEBE4" w14:textId="2AEA0CB6" w:rsidR="00C47F73" w:rsidRPr="009F7CED" w:rsidRDefault="005D151C" w:rsidP="005F30C3">
            <w:pPr>
              <w:pStyle w:val="Ttulo2"/>
              <w:ind w:left="72" w:right="72"/>
              <w:jc w:val="left"/>
              <w:rPr>
                <w:rFonts w:cs="Arial"/>
                <w:b w:val="0"/>
                <w:sz w:val="22"/>
                <w:szCs w:val="22"/>
              </w:rPr>
            </w:pPr>
            <w:r>
              <w:rPr>
                <w:rFonts w:cs="Arial"/>
                <w:b w:val="0"/>
                <w:i/>
                <w:color w:val="808080"/>
                <w:sz w:val="22"/>
                <w:szCs w:val="22"/>
              </w:rPr>
              <w:t>16</w:t>
            </w:r>
            <w:r w:rsidR="006473B4">
              <w:rPr>
                <w:rFonts w:cs="Arial"/>
                <w:b w:val="0"/>
                <w:i/>
                <w:color w:val="808080"/>
                <w:sz w:val="22"/>
                <w:szCs w:val="22"/>
              </w:rPr>
              <w:t>/</w:t>
            </w:r>
            <w:r w:rsidR="008542C2">
              <w:rPr>
                <w:rFonts w:cs="Arial"/>
                <w:b w:val="0"/>
                <w:i/>
                <w:color w:val="808080"/>
                <w:sz w:val="22"/>
                <w:szCs w:val="22"/>
              </w:rPr>
              <w:t>11</w:t>
            </w:r>
            <w:r w:rsidR="006473B4">
              <w:rPr>
                <w:rFonts w:cs="Arial"/>
                <w:b w:val="0"/>
                <w:i/>
                <w:color w:val="808080"/>
                <w:sz w:val="22"/>
                <w:szCs w:val="22"/>
              </w:rPr>
              <w:t>/202</w:t>
            </w:r>
            <w:r>
              <w:rPr>
                <w:rFonts w:cs="Arial"/>
                <w:b w:val="0"/>
                <w:i/>
                <w:color w:val="808080"/>
                <w:sz w:val="22"/>
                <w:szCs w:val="22"/>
              </w:rPr>
              <w:t>2</w:t>
            </w:r>
          </w:p>
        </w:tc>
      </w:tr>
      <w:tr w:rsidR="005C4522" w:rsidRPr="009F7CED" w14:paraId="411ED229"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C2A2262"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2306693" w14:textId="4F4754F8" w:rsidR="005D151C" w:rsidRPr="00A7190F" w:rsidRDefault="005D151C" w:rsidP="005D151C">
            <w:pPr>
              <w:pStyle w:val="Ttulo"/>
              <w:jc w:val="both"/>
              <w:rPr>
                <w:i/>
                <w:iCs/>
                <w:sz w:val="22"/>
                <w:szCs w:val="22"/>
                <w:lang w:val="es-CO"/>
              </w:rPr>
            </w:pPr>
            <w:bookmarkStart w:id="0" w:name="_Hlk101949338"/>
            <w:bookmarkStart w:id="1" w:name="_Hlk101949339"/>
            <w:r w:rsidRPr="00A7190F">
              <w:rPr>
                <w:i/>
                <w:iCs/>
                <w:sz w:val="22"/>
                <w:szCs w:val="22"/>
              </w:rPr>
              <w:t xml:space="preserve">“Por medio de la cual se </w:t>
            </w:r>
            <w:r w:rsidR="00CB7FAA">
              <w:rPr>
                <w:i/>
                <w:iCs/>
                <w:sz w:val="22"/>
                <w:szCs w:val="22"/>
              </w:rPr>
              <w:t>establece</w:t>
            </w:r>
            <w:r>
              <w:rPr>
                <w:i/>
                <w:iCs/>
                <w:sz w:val="22"/>
                <w:szCs w:val="22"/>
              </w:rPr>
              <w:t xml:space="preserve"> el monto del incentivo en salud para los beneficiarios que culminen exitosamente la verificación del pago ciclo 6 del año 2022 </w:t>
            </w:r>
            <w:r w:rsidRPr="00A7190F">
              <w:rPr>
                <w:i/>
                <w:iCs/>
                <w:sz w:val="22"/>
                <w:szCs w:val="22"/>
              </w:rPr>
              <w:t>del Programa Familias en Acción</w:t>
            </w:r>
            <w:r w:rsidRPr="00A7190F">
              <w:rPr>
                <w:i/>
                <w:iCs/>
                <w:sz w:val="22"/>
                <w:szCs w:val="22"/>
                <w:lang w:val="es-CO"/>
              </w:rPr>
              <w:t>”.</w:t>
            </w:r>
            <w:bookmarkEnd w:id="0"/>
            <w:bookmarkEnd w:id="1"/>
          </w:p>
          <w:p w14:paraId="3775E6AA" w14:textId="4311EFFC" w:rsidR="001F238A" w:rsidRPr="00652BA1" w:rsidRDefault="001F238A" w:rsidP="005D151C">
            <w:pPr>
              <w:pStyle w:val="Ttulo2"/>
              <w:ind w:right="72"/>
              <w:jc w:val="both"/>
              <w:rPr>
                <w:rFonts w:cs="Arial"/>
                <w:bCs/>
                <w:i/>
                <w:iCs/>
                <w:color w:val="808080"/>
                <w:sz w:val="22"/>
                <w:szCs w:val="22"/>
                <w:lang w:val="es-CO"/>
              </w:rPr>
            </w:pPr>
          </w:p>
        </w:tc>
      </w:tr>
      <w:tr w:rsidR="00DF60FD" w:rsidRPr="009F7CED" w14:paraId="689D9DC6" w14:textId="77777777" w:rsidTr="0075705D">
        <w:trPr>
          <w:trHeight w:val="47"/>
        </w:trPr>
        <w:tc>
          <w:tcPr>
            <w:tcW w:w="10774" w:type="dxa"/>
            <w:gridSpan w:val="3"/>
            <w:shd w:val="clear" w:color="auto" w:fill="FFFFFF"/>
            <w:vAlign w:val="center"/>
          </w:tcPr>
          <w:p w14:paraId="17225CB4" w14:textId="365A7AF1" w:rsidR="008542C2" w:rsidRPr="005D151C" w:rsidRDefault="008542C2" w:rsidP="00C332EA">
            <w:pPr>
              <w:pStyle w:val="Prrafodelista"/>
              <w:numPr>
                <w:ilvl w:val="0"/>
                <w:numId w:val="9"/>
              </w:numPr>
              <w:jc w:val="both"/>
              <w:rPr>
                <w:rFonts w:cs="Arial"/>
                <w:b/>
                <w:color w:val="000000"/>
                <w:sz w:val="22"/>
                <w:szCs w:val="22"/>
              </w:rPr>
            </w:pPr>
            <w:r w:rsidRPr="005D151C">
              <w:rPr>
                <w:rFonts w:cs="Arial"/>
                <w:b/>
                <w:color w:val="000000"/>
                <w:sz w:val="22"/>
                <w:szCs w:val="22"/>
              </w:rPr>
              <w:t>ANTECEDENTES Y RAZONES DE OPORTUNIDAD Y CONVENIENCIA QUE JUSTIFICAN SU EXPEDICIÓN.</w:t>
            </w:r>
          </w:p>
          <w:p w14:paraId="3A65250C" w14:textId="77777777" w:rsidR="008542C2" w:rsidRPr="005D151C" w:rsidRDefault="008542C2" w:rsidP="008542C2">
            <w:pPr>
              <w:ind w:left="494"/>
              <w:jc w:val="both"/>
              <w:rPr>
                <w:rFonts w:cs="Arial"/>
                <w:b/>
                <w:color w:val="000000"/>
                <w:sz w:val="22"/>
                <w:szCs w:val="22"/>
              </w:rPr>
            </w:pPr>
          </w:p>
          <w:p w14:paraId="5A884644" w14:textId="44941BBE" w:rsidR="00D16486" w:rsidRPr="00945811" w:rsidRDefault="00D16486" w:rsidP="00D16486">
            <w:pPr>
              <w:pStyle w:val="Prrafodelista"/>
              <w:numPr>
                <w:ilvl w:val="1"/>
                <w:numId w:val="11"/>
              </w:numPr>
              <w:jc w:val="both"/>
              <w:outlineLvl w:val="0"/>
              <w:rPr>
                <w:rFonts w:cs="Arial"/>
                <w:b/>
                <w:bCs/>
                <w:sz w:val="22"/>
                <w:szCs w:val="22"/>
              </w:rPr>
            </w:pPr>
            <w:r w:rsidRPr="00945811">
              <w:rPr>
                <w:rFonts w:cs="Arial"/>
                <w:b/>
                <w:bCs/>
                <w:sz w:val="22"/>
                <w:szCs w:val="22"/>
              </w:rPr>
              <w:t>Antecedentes.</w:t>
            </w:r>
          </w:p>
          <w:p w14:paraId="38FC873B" w14:textId="77777777" w:rsidR="00D16486" w:rsidRPr="00E2015F" w:rsidRDefault="00D16486" w:rsidP="00D16486">
            <w:pPr>
              <w:jc w:val="both"/>
              <w:outlineLvl w:val="0"/>
              <w:rPr>
                <w:rFonts w:cs="Arial"/>
                <w:bCs/>
                <w:sz w:val="22"/>
                <w:szCs w:val="22"/>
              </w:rPr>
            </w:pPr>
          </w:p>
          <w:p w14:paraId="4ADCA4D2" w14:textId="77777777" w:rsidR="00D16486" w:rsidRPr="00DF0420" w:rsidRDefault="00D16486" w:rsidP="00D16486">
            <w:pPr>
              <w:autoSpaceDE w:val="0"/>
              <w:autoSpaceDN w:val="0"/>
              <w:adjustRightInd w:val="0"/>
              <w:jc w:val="both"/>
              <w:rPr>
                <w:rFonts w:cs="Arial"/>
                <w:bCs/>
                <w:sz w:val="22"/>
                <w:szCs w:val="22"/>
                <w:lang w:val="es-CO"/>
              </w:rPr>
            </w:pPr>
            <w:r>
              <w:rPr>
                <w:rFonts w:cs="Arial"/>
                <w:bCs/>
                <w:sz w:val="22"/>
                <w:szCs w:val="22"/>
                <w:lang w:val="es-CO"/>
              </w:rPr>
              <w:t>L</w:t>
            </w:r>
            <w:r w:rsidRPr="00DF0420">
              <w:rPr>
                <w:rFonts w:cs="Arial"/>
                <w:bCs/>
                <w:sz w:val="22"/>
                <w:szCs w:val="22"/>
                <w:lang w:val="es-CO"/>
              </w:rPr>
              <w:t>os artículos 13, 334 y 366 de la Constitución Política consagran la obligación del Estado de promover las condiciones para que la igualdad sea real y efectiva, lo que implica adoptar medidas en favor de grupos discriminados o marginados, así como de proteger especialmente a aquellas personas que por su condición económica, física o mental se encuentren en circunstancia de debilidad manifiesta, asegurando que todas las personas, en particular las de menores ingresos, tengan acceso efectivo a los bienes y servicios básicos, priorizando el gasto público social.  </w:t>
            </w:r>
          </w:p>
          <w:p w14:paraId="0DABE395" w14:textId="77777777" w:rsidR="00D16486" w:rsidRDefault="00D16486" w:rsidP="00D16486">
            <w:pPr>
              <w:autoSpaceDE w:val="0"/>
              <w:autoSpaceDN w:val="0"/>
              <w:adjustRightInd w:val="0"/>
              <w:jc w:val="both"/>
              <w:rPr>
                <w:rFonts w:cs="Arial"/>
                <w:sz w:val="22"/>
                <w:szCs w:val="22"/>
                <w:lang w:val="es-CO"/>
              </w:rPr>
            </w:pPr>
          </w:p>
          <w:p w14:paraId="1646960F" w14:textId="77777777" w:rsidR="00D16486" w:rsidRDefault="00D16486" w:rsidP="00D16486">
            <w:pPr>
              <w:autoSpaceDE w:val="0"/>
              <w:autoSpaceDN w:val="0"/>
              <w:adjustRightInd w:val="0"/>
              <w:jc w:val="both"/>
              <w:rPr>
                <w:rFonts w:cs="Arial"/>
                <w:sz w:val="22"/>
                <w:szCs w:val="22"/>
                <w:lang w:val="es-CO"/>
              </w:rPr>
            </w:pPr>
            <w:r>
              <w:rPr>
                <w:rFonts w:cs="Arial"/>
                <w:sz w:val="22"/>
                <w:szCs w:val="22"/>
                <w:lang w:val="es-CO"/>
              </w:rPr>
              <w:t>Para este propósito, el Estado Colombiano ha venido implementando medidas positivas para la igualdad a favor de los grupos económicamente más vulnerables, para atender los problemas estructurales y coyunturales que han presionado a los hogares colombianos hacia el umbral de pobreza, mediante los programas de transferencias monetarias condicionadas y no condicionadas, como Familias en Acción.</w:t>
            </w:r>
          </w:p>
          <w:p w14:paraId="2CF78981" w14:textId="77777777" w:rsidR="00D16486" w:rsidRDefault="00D16486" w:rsidP="00D16486">
            <w:pPr>
              <w:autoSpaceDE w:val="0"/>
              <w:autoSpaceDN w:val="0"/>
              <w:adjustRightInd w:val="0"/>
              <w:jc w:val="both"/>
              <w:rPr>
                <w:rFonts w:cs="Arial"/>
                <w:sz w:val="22"/>
                <w:szCs w:val="22"/>
                <w:lang w:val="es-CO"/>
              </w:rPr>
            </w:pPr>
          </w:p>
          <w:p w14:paraId="2F62DB5A" w14:textId="77777777" w:rsidR="00D16486" w:rsidRPr="00475EE8" w:rsidRDefault="00D16486" w:rsidP="00D16486">
            <w:pPr>
              <w:pStyle w:val="Prrafodelista"/>
              <w:numPr>
                <w:ilvl w:val="1"/>
                <w:numId w:val="11"/>
              </w:numPr>
              <w:autoSpaceDE w:val="0"/>
              <w:autoSpaceDN w:val="0"/>
              <w:adjustRightInd w:val="0"/>
              <w:jc w:val="both"/>
              <w:rPr>
                <w:rFonts w:cs="Arial"/>
                <w:b/>
                <w:sz w:val="22"/>
                <w:szCs w:val="22"/>
                <w:lang w:val="es-CO"/>
              </w:rPr>
            </w:pPr>
            <w:r w:rsidRPr="00475EE8">
              <w:rPr>
                <w:rFonts w:cs="Arial"/>
                <w:b/>
                <w:sz w:val="22"/>
                <w:szCs w:val="22"/>
                <w:lang w:val="es-CO"/>
              </w:rPr>
              <w:t>Normatividad del Programa Familias en Acción.</w:t>
            </w:r>
          </w:p>
          <w:p w14:paraId="7E85DC17" w14:textId="77777777" w:rsidR="00D16486" w:rsidRDefault="00D16486" w:rsidP="00D16486">
            <w:pPr>
              <w:autoSpaceDE w:val="0"/>
              <w:autoSpaceDN w:val="0"/>
              <w:adjustRightInd w:val="0"/>
              <w:jc w:val="both"/>
              <w:rPr>
                <w:rFonts w:cs="Arial"/>
                <w:sz w:val="22"/>
                <w:szCs w:val="22"/>
                <w:lang w:val="es-CO"/>
              </w:rPr>
            </w:pPr>
          </w:p>
          <w:p w14:paraId="70595ABC" w14:textId="77777777" w:rsidR="00D16486" w:rsidRDefault="00D16486" w:rsidP="00D16486">
            <w:pPr>
              <w:autoSpaceDE w:val="0"/>
              <w:autoSpaceDN w:val="0"/>
              <w:adjustRightInd w:val="0"/>
              <w:jc w:val="both"/>
              <w:rPr>
                <w:rFonts w:cs="Arial"/>
                <w:bCs/>
                <w:sz w:val="22"/>
                <w:szCs w:val="22"/>
                <w:lang w:val="es-CO"/>
              </w:rPr>
            </w:pPr>
            <w:r>
              <w:rPr>
                <w:rFonts w:cs="Arial"/>
                <w:bCs/>
                <w:sz w:val="22"/>
                <w:szCs w:val="22"/>
                <w:lang w:val="es-CO"/>
              </w:rPr>
              <w:t xml:space="preserve">La </w:t>
            </w:r>
            <w:r w:rsidRPr="00DF0420">
              <w:rPr>
                <w:rFonts w:cs="Arial"/>
                <w:bCs/>
                <w:sz w:val="22"/>
                <w:szCs w:val="22"/>
                <w:lang w:val="es-CO"/>
              </w:rPr>
              <w:t xml:space="preserve">Ley 1532 de 2012 “por medio de la cual se adoptan unas medidas de política y se regula el funcionamiento del Programa Familias en Acción”, modificada por la Ley 1948 de 2019, </w:t>
            </w:r>
            <w:r>
              <w:rPr>
                <w:rFonts w:cs="Arial"/>
                <w:bCs/>
                <w:sz w:val="22"/>
                <w:szCs w:val="22"/>
                <w:lang w:val="es-CO"/>
              </w:rPr>
              <w:t>definió el Programa Familias en acción en los siguientes términos:</w:t>
            </w:r>
          </w:p>
          <w:p w14:paraId="2EFACC38" w14:textId="77777777" w:rsidR="00D16486" w:rsidRDefault="00D16486" w:rsidP="00D16486">
            <w:pPr>
              <w:autoSpaceDE w:val="0"/>
              <w:autoSpaceDN w:val="0"/>
              <w:adjustRightInd w:val="0"/>
              <w:jc w:val="both"/>
              <w:rPr>
                <w:rFonts w:cs="Arial"/>
                <w:bCs/>
                <w:sz w:val="22"/>
                <w:szCs w:val="22"/>
                <w:lang w:val="es-CO"/>
              </w:rPr>
            </w:pPr>
          </w:p>
          <w:p w14:paraId="667945CD" w14:textId="77777777" w:rsidR="00D16486" w:rsidRPr="00DF0420" w:rsidRDefault="00D16486" w:rsidP="00D16486">
            <w:pPr>
              <w:autoSpaceDE w:val="0"/>
              <w:autoSpaceDN w:val="0"/>
              <w:adjustRightInd w:val="0"/>
              <w:ind w:left="708"/>
              <w:jc w:val="both"/>
              <w:rPr>
                <w:rFonts w:cs="Arial"/>
                <w:bCs/>
                <w:i/>
                <w:sz w:val="22"/>
                <w:szCs w:val="22"/>
                <w:lang w:val="es-CO"/>
              </w:rPr>
            </w:pPr>
            <w:r>
              <w:rPr>
                <w:rStyle w:val="Textoennegrita"/>
                <w:rFonts w:cs="Arial"/>
                <w:i/>
                <w:color w:val="000000"/>
              </w:rPr>
              <w:t>“</w:t>
            </w:r>
            <w:r w:rsidRPr="00DF0420">
              <w:rPr>
                <w:rStyle w:val="Textoennegrita"/>
                <w:rFonts w:cs="Arial"/>
                <w:i/>
                <w:color w:val="000000"/>
              </w:rPr>
              <w:t>Artículo 2°.</w:t>
            </w:r>
            <w:r w:rsidRPr="00DF0420">
              <w:rPr>
                <w:rFonts w:cs="Arial"/>
                <w:i/>
                <w:color w:val="000000"/>
              </w:rPr>
              <w:t> Definición. El Programa Familias en Acción consiste en la entrega condicionada y periódica de una transferencia monetaria directa a las familias en condición de pobreza y pobreza extrema. El Programa es un complemento al ingreso monetario para la formación de capital humano, la generación de movilidad social, el acceso a programas de educación media y superior, la contribución a la superación de la pobreza y pobreza extrema y a la prevención del embarazo en la adolescencia. Se podrán incorporar las demás transferencias que el sistema de la promoción social genere en el tiempo para estas familias</w:t>
            </w:r>
            <w:r>
              <w:rPr>
                <w:rFonts w:cs="Arial"/>
                <w:i/>
                <w:color w:val="000000"/>
              </w:rPr>
              <w:t>”</w:t>
            </w:r>
            <w:r w:rsidRPr="00DF0420">
              <w:rPr>
                <w:rFonts w:cs="Arial"/>
                <w:i/>
                <w:color w:val="000000"/>
              </w:rPr>
              <w:t>.</w:t>
            </w:r>
          </w:p>
          <w:p w14:paraId="5577B1EC" w14:textId="77777777" w:rsidR="00D16486" w:rsidRDefault="00D16486" w:rsidP="00D16486">
            <w:pPr>
              <w:autoSpaceDE w:val="0"/>
              <w:autoSpaceDN w:val="0"/>
              <w:adjustRightInd w:val="0"/>
              <w:jc w:val="both"/>
              <w:rPr>
                <w:rFonts w:cs="Arial"/>
                <w:bCs/>
                <w:sz w:val="22"/>
                <w:szCs w:val="22"/>
                <w:lang w:val="es-CO"/>
              </w:rPr>
            </w:pPr>
          </w:p>
          <w:p w14:paraId="6BF18C83" w14:textId="72247AFA" w:rsidR="00D16486" w:rsidRDefault="00D16486" w:rsidP="00D16486">
            <w:pPr>
              <w:autoSpaceDE w:val="0"/>
              <w:autoSpaceDN w:val="0"/>
              <w:adjustRightInd w:val="0"/>
              <w:jc w:val="both"/>
              <w:rPr>
                <w:rFonts w:cs="Arial"/>
                <w:bCs/>
                <w:sz w:val="22"/>
                <w:szCs w:val="22"/>
                <w:lang w:val="es-CO"/>
              </w:rPr>
            </w:pPr>
            <w:r>
              <w:rPr>
                <w:rFonts w:cs="Arial"/>
                <w:bCs/>
                <w:sz w:val="22"/>
                <w:szCs w:val="22"/>
                <w:lang w:val="es-CO"/>
              </w:rPr>
              <w:t>En complemento, mediante el artículo 3 de la precitada ley</w:t>
            </w:r>
            <w:r w:rsidR="00F55E40">
              <w:rPr>
                <w:rFonts w:cs="Arial"/>
                <w:bCs/>
                <w:sz w:val="22"/>
                <w:szCs w:val="22"/>
                <w:lang w:val="es-CO"/>
              </w:rPr>
              <w:t>, se</w:t>
            </w:r>
            <w:r>
              <w:rPr>
                <w:rFonts w:cs="Arial"/>
                <w:bCs/>
                <w:sz w:val="22"/>
                <w:szCs w:val="22"/>
                <w:lang w:val="es-CO"/>
              </w:rPr>
              <w:t xml:space="preserve"> estableci</w:t>
            </w:r>
            <w:r w:rsidR="00F55E40">
              <w:rPr>
                <w:rFonts w:cs="Arial"/>
                <w:bCs/>
                <w:sz w:val="22"/>
                <w:szCs w:val="22"/>
                <w:lang w:val="es-CO"/>
              </w:rPr>
              <w:t>eron</w:t>
            </w:r>
            <w:r>
              <w:rPr>
                <w:rFonts w:cs="Arial"/>
                <w:bCs/>
                <w:sz w:val="22"/>
                <w:szCs w:val="22"/>
                <w:lang w:val="es-CO"/>
              </w:rPr>
              <w:t xml:space="preserve"> como objetivos del programa los siguientes:</w:t>
            </w:r>
          </w:p>
          <w:p w14:paraId="2CA87F5E" w14:textId="77777777" w:rsidR="00D16486" w:rsidRDefault="00D16486" w:rsidP="00D16486">
            <w:pPr>
              <w:autoSpaceDE w:val="0"/>
              <w:autoSpaceDN w:val="0"/>
              <w:adjustRightInd w:val="0"/>
              <w:jc w:val="both"/>
              <w:rPr>
                <w:rFonts w:cs="Arial"/>
                <w:bCs/>
                <w:sz w:val="22"/>
                <w:szCs w:val="22"/>
                <w:lang w:val="es-CO"/>
              </w:rPr>
            </w:pPr>
          </w:p>
          <w:p w14:paraId="572B03B3" w14:textId="77777777" w:rsidR="00D16486" w:rsidRPr="004041CC" w:rsidRDefault="00D16486" w:rsidP="00D16486">
            <w:pPr>
              <w:autoSpaceDE w:val="0"/>
              <w:autoSpaceDN w:val="0"/>
              <w:adjustRightInd w:val="0"/>
              <w:ind w:left="708"/>
              <w:jc w:val="both"/>
              <w:rPr>
                <w:rFonts w:cs="Arial"/>
                <w:bCs/>
                <w:i/>
                <w:sz w:val="22"/>
                <w:szCs w:val="22"/>
                <w:lang w:val="es-CO"/>
              </w:rPr>
            </w:pPr>
            <w:r>
              <w:rPr>
                <w:rStyle w:val="Textoennegrita"/>
                <w:rFonts w:cs="Arial"/>
                <w:i/>
                <w:color w:val="000000"/>
              </w:rPr>
              <w:t>“</w:t>
            </w:r>
            <w:r w:rsidRPr="004041CC">
              <w:rPr>
                <w:rStyle w:val="Textoennegrita"/>
                <w:rFonts w:cs="Arial"/>
                <w:i/>
                <w:color w:val="000000"/>
              </w:rPr>
              <w:t>Artículo 3°. </w:t>
            </w:r>
            <w:r w:rsidRPr="004041CC">
              <w:rPr>
                <w:rFonts w:cs="Arial"/>
                <w:i/>
                <w:color w:val="000000"/>
              </w:rPr>
              <w:t>Objetivos. Contribuir a la superación y prevención de la pobreza, la formación de capital humano, a la formación de competencias ciudadanas y comunitarias, mediante el apoyo monetario directo y acceso preferencial a programas complementarios a las familias beneficiarias y titulares del Programa Familias en Acción.</w:t>
            </w:r>
            <w:r w:rsidRPr="004041CC">
              <w:rPr>
                <w:rFonts w:cs="Arial"/>
                <w:i/>
                <w:color w:val="000000"/>
              </w:rPr>
              <w:br/>
            </w:r>
            <w:r w:rsidRPr="004041CC">
              <w:rPr>
                <w:rFonts w:cs="Arial"/>
                <w:i/>
                <w:color w:val="000000"/>
              </w:rPr>
              <w:br/>
              <w:t>El Programa busca fomentar la asistencia a los controles de crecimiento y desarrollo de los niños y niñas de primera infancia, la asistencia y permanencia escolar en los 9 años de educación básica y 2 años de educación media, el acceso preferente a programas de educación superior y formación para el trabajo; la formación de competencias ciudadanas y comunitarias para la autonomía y el bienestar de las familias y contribuir a la prevención del embarazo en la adolescencia</w:t>
            </w:r>
            <w:r>
              <w:rPr>
                <w:rFonts w:cs="Arial"/>
                <w:i/>
                <w:color w:val="000000"/>
              </w:rPr>
              <w:t>”</w:t>
            </w:r>
            <w:r w:rsidRPr="004041CC">
              <w:rPr>
                <w:rFonts w:cs="Arial"/>
                <w:i/>
                <w:color w:val="000000"/>
              </w:rPr>
              <w:t>. </w:t>
            </w:r>
          </w:p>
          <w:p w14:paraId="2839DFF7" w14:textId="77777777" w:rsidR="00D16486" w:rsidRDefault="00D16486" w:rsidP="00D16486">
            <w:pPr>
              <w:autoSpaceDE w:val="0"/>
              <w:autoSpaceDN w:val="0"/>
              <w:adjustRightInd w:val="0"/>
              <w:jc w:val="both"/>
              <w:rPr>
                <w:rFonts w:cs="Arial"/>
                <w:sz w:val="22"/>
                <w:szCs w:val="22"/>
                <w:lang w:val="es-CO"/>
              </w:rPr>
            </w:pPr>
          </w:p>
          <w:p w14:paraId="4F51DCD3" w14:textId="0D1624A5" w:rsidR="00D16486" w:rsidRDefault="00D16486" w:rsidP="00D16486">
            <w:pPr>
              <w:autoSpaceDE w:val="0"/>
              <w:autoSpaceDN w:val="0"/>
              <w:adjustRightInd w:val="0"/>
              <w:jc w:val="both"/>
              <w:rPr>
                <w:rFonts w:cs="Arial"/>
                <w:sz w:val="22"/>
                <w:szCs w:val="22"/>
                <w:lang w:val="es-CO"/>
              </w:rPr>
            </w:pPr>
            <w:r>
              <w:rPr>
                <w:rFonts w:cs="Arial"/>
                <w:sz w:val="22"/>
                <w:szCs w:val="22"/>
                <w:lang w:val="es-CO"/>
              </w:rPr>
              <w:t xml:space="preserve">Finalmente y mediante el </w:t>
            </w:r>
            <w:r w:rsidR="00F55E40">
              <w:rPr>
                <w:rFonts w:cs="Arial"/>
                <w:sz w:val="22"/>
                <w:szCs w:val="22"/>
                <w:lang w:val="es-CO"/>
              </w:rPr>
              <w:t>artículo</w:t>
            </w:r>
            <w:r>
              <w:rPr>
                <w:rFonts w:cs="Arial"/>
                <w:sz w:val="22"/>
                <w:szCs w:val="22"/>
                <w:lang w:val="es-CO"/>
              </w:rPr>
              <w:t xml:space="preserve"> 6 de la misma ley, se otorgó competencia al Gobierno Nacional para definir el tipo de subsidios y montos, en los siguientes términos:</w:t>
            </w:r>
          </w:p>
          <w:p w14:paraId="1291592E" w14:textId="77777777" w:rsidR="00D16486" w:rsidRDefault="00D16486" w:rsidP="00D16486">
            <w:pPr>
              <w:autoSpaceDE w:val="0"/>
              <w:autoSpaceDN w:val="0"/>
              <w:adjustRightInd w:val="0"/>
              <w:jc w:val="both"/>
              <w:rPr>
                <w:rFonts w:cs="Arial"/>
                <w:sz w:val="22"/>
                <w:szCs w:val="22"/>
                <w:lang w:val="es-CO"/>
              </w:rPr>
            </w:pPr>
          </w:p>
          <w:p w14:paraId="6D16FAF9" w14:textId="77777777" w:rsidR="00D16486" w:rsidRDefault="00D16486" w:rsidP="00D16486">
            <w:pPr>
              <w:autoSpaceDE w:val="0"/>
              <w:autoSpaceDN w:val="0"/>
              <w:adjustRightInd w:val="0"/>
              <w:jc w:val="both"/>
              <w:rPr>
                <w:rFonts w:cs="Arial"/>
                <w:sz w:val="22"/>
                <w:szCs w:val="22"/>
                <w:lang w:val="es-CO"/>
              </w:rPr>
            </w:pPr>
          </w:p>
          <w:p w14:paraId="25A70451" w14:textId="77777777" w:rsidR="00D16486" w:rsidRPr="00475EE8" w:rsidRDefault="00D16486" w:rsidP="00D16486">
            <w:pPr>
              <w:autoSpaceDE w:val="0"/>
              <w:autoSpaceDN w:val="0"/>
              <w:adjustRightInd w:val="0"/>
              <w:ind w:left="708"/>
              <w:jc w:val="both"/>
              <w:rPr>
                <w:rFonts w:cs="Arial"/>
                <w:i/>
                <w:szCs w:val="22"/>
                <w:lang w:val="es-CO"/>
              </w:rPr>
            </w:pPr>
            <w:r w:rsidRPr="00475EE8">
              <w:rPr>
                <w:rFonts w:cs="Arial"/>
                <w:b/>
                <w:bCs/>
                <w:i/>
                <w:szCs w:val="22"/>
                <w:lang w:val="es-CO"/>
              </w:rPr>
              <w:t>Artículo</w:t>
            </w:r>
            <w:r w:rsidRPr="00475EE8">
              <w:rPr>
                <w:rFonts w:cs="Arial"/>
                <w:i/>
                <w:szCs w:val="22"/>
                <w:lang w:val="es-CO"/>
              </w:rPr>
              <w:t> 6°.</w:t>
            </w:r>
            <w:r w:rsidRPr="00475EE8">
              <w:rPr>
                <w:rFonts w:cs="Arial"/>
                <w:i/>
                <w:iCs/>
                <w:szCs w:val="22"/>
                <w:lang w:val="es-CO"/>
              </w:rPr>
              <w:t>Tipos de subsidios.</w:t>
            </w:r>
            <w:r w:rsidRPr="00475EE8">
              <w:rPr>
                <w:rFonts w:cs="Arial"/>
                <w:i/>
                <w:szCs w:val="22"/>
                <w:lang w:val="es-CO"/>
              </w:rPr>
              <w:t> El Gobierno Nacional a través del Departamento Administrativo para la Prosperidad Social y el Departamento Nacional de Planeación, definirán los tipos de subsidios condicionados y los montos, de acuerdo con las prioridades del Plan Nacional de Desarrollo y los objetivos en términos de superación de pobreza. </w:t>
            </w:r>
          </w:p>
          <w:p w14:paraId="135D5399" w14:textId="77777777" w:rsidR="00D16486" w:rsidRPr="00475EE8" w:rsidRDefault="00D16486" w:rsidP="00D16486">
            <w:pPr>
              <w:autoSpaceDE w:val="0"/>
              <w:autoSpaceDN w:val="0"/>
              <w:adjustRightInd w:val="0"/>
              <w:ind w:left="708"/>
              <w:jc w:val="both"/>
              <w:rPr>
                <w:rFonts w:cs="Arial"/>
                <w:i/>
                <w:szCs w:val="22"/>
                <w:lang w:val="es-CO"/>
              </w:rPr>
            </w:pPr>
            <w:r w:rsidRPr="00475EE8">
              <w:rPr>
                <w:rFonts w:cs="Arial"/>
                <w:i/>
                <w:szCs w:val="22"/>
                <w:lang w:val="es-CO"/>
              </w:rPr>
              <w:t>  </w:t>
            </w:r>
          </w:p>
          <w:p w14:paraId="7E5CC296" w14:textId="77777777" w:rsidR="00D16486" w:rsidRPr="00475EE8" w:rsidRDefault="00D16486" w:rsidP="00D16486">
            <w:pPr>
              <w:autoSpaceDE w:val="0"/>
              <w:autoSpaceDN w:val="0"/>
              <w:adjustRightInd w:val="0"/>
              <w:ind w:left="708"/>
              <w:jc w:val="both"/>
              <w:rPr>
                <w:rFonts w:cs="Arial"/>
                <w:i/>
                <w:szCs w:val="22"/>
                <w:lang w:val="es-CO"/>
              </w:rPr>
            </w:pPr>
            <w:r w:rsidRPr="00475EE8">
              <w:rPr>
                <w:rFonts w:cs="Arial"/>
                <w:i/>
                <w:szCs w:val="22"/>
                <w:lang w:val="es-CO"/>
              </w:rPr>
              <w:t>Cada año el programa realizará una revisión de los criterios de los subsidios y de los montos, en todo caso el reajuste no podrá ser menor al IPC de ingresos bajos. </w:t>
            </w:r>
          </w:p>
          <w:p w14:paraId="47A1E290" w14:textId="7CBD3F75" w:rsidR="00D16486" w:rsidRDefault="00D16486" w:rsidP="00D16486">
            <w:pPr>
              <w:autoSpaceDE w:val="0"/>
              <w:autoSpaceDN w:val="0"/>
              <w:adjustRightInd w:val="0"/>
              <w:jc w:val="both"/>
              <w:rPr>
                <w:rFonts w:cs="Arial"/>
                <w:sz w:val="22"/>
                <w:szCs w:val="22"/>
                <w:lang w:val="es-CO"/>
              </w:rPr>
            </w:pPr>
          </w:p>
          <w:p w14:paraId="03385A54" w14:textId="048FB42C" w:rsidR="00F55E40" w:rsidRDefault="00F55E40" w:rsidP="00D16486">
            <w:pPr>
              <w:autoSpaceDE w:val="0"/>
              <w:autoSpaceDN w:val="0"/>
              <w:adjustRightInd w:val="0"/>
              <w:jc w:val="both"/>
              <w:rPr>
                <w:rFonts w:cs="Arial"/>
                <w:sz w:val="22"/>
                <w:szCs w:val="22"/>
                <w:lang w:val="es-CO"/>
              </w:rPr>
            </w:pPr>
            <w:r>
              <w:rPr>
                <w:rFonts w:cs="Arial"/>
                <w:sz w:val="22"/>
                <w:szCs w:val="22"/>
                <w:lang w:val="es-CO"/>
              </w:rPr>
              <w:t>Luego Prosperidad Social en conjunto con el DNP tiene la facultad de definir los montos del subsidio condicionado del programa Familias en Acción.</w:t>
            </w:r>
          </w:p>
          <w:p w14:paraId="287D81B6" w14:textId="77777777" w:rsidR="00D16486" w:rsidRDefault="00D16486" w:rsidP="00D16486">
            <w:pPr>
              <w:autoSpaceDE w:val="0"/>
              <w:autoSpaceDN w:val="0"/>
              <w:adjustRightInd w:val="0"/>
              <w:jc w:val="both"/>
              <w:rPr>
                <w:rFonts w:cs="Arial"/>
                <w:sz w:val="22"/>
                <w:szCs w:val="22"/>
                <w:lang w:val="es-CO"/>
              </w:rPr>
            </w:pPr>
          </w:p>
          <w:p w14:paraId="71E5DCF6" w14:textId="77777777" w:rsidR="00D16486" w:rsidRPr="00475EE8" w:rsidRDefault="00D16486" w:rsidP="00D16486">
            <w:pPr>
              <w:pStyle w:val="Prrafodelista"/>
              <w:numPr>
                <w:ilvl w:val="1"/>
                <w:numId w:val="11"/>
              </w:numPr>
              <w:autoSpaceDE w:val="0"/>
              <w:autoSpaceDN w:val="0"/>
              <w:adjustRightInd w:val="0"/>
              <w:jc w:val="both"/>
              <w:rPr>
                <w:rFonts w:cs="Arial"/>
                <w:b/>
                <w:sz w:val="22"/>
                <w:szCs w:val="22"/>
                <w:lang w:val="es-CO"/>
              </w:rPr>
            </w:pPr>
            <w:r w:rsidRPr="00475EE8">
              <w:rPr>
                <w:rFonts w:cs="Arial"/>
                <w:b/>
                <w:sz w:val="22"/>
                <w:szCs w:val="22"/>
                <w:lang w:val="es-CO"/>
              </w:rPr>
              <w:t>Metas del Plan de Desarrollo.</w:t>
            </w:r>
          </w:p>
          <w:p w14:paraId="1A5AABE7" w14:textId="77777777" w:rsidR="00D16486" w:rsidRPr="00475EE8" w:rsidRDefault="00D16486" w:rsidP="00D16486">
            <w:pPr>
              <w:autoSpaceDE w:val="0"/>
              <w:autoSpaceDN w:val="0"/>
              <w:adjustRightInd w:val="0"/>
              <w:jc w:val="both"/>
              <w:rPr>
                <w:rFonts w:cs="Arial"/>
                <w:sz w:val="22"/>
                <w:szCs w:val="22"/>
                <w:lang w:val="es-CO"/>
              </w:rPr>
            </w:pPr>
          </w:p>
          <w:p w14:paraId="23816B00" w14:textId="77777777" w:rsidR="00D16486" w:rsidRPr="00475EE8" w:rsidRDefault="00D16486" w:rsidP="00D16486">
            <w:pPr>
              <w:jc w:val="both"/>
              <w:rPr>
                <w:rFonts w:cs="Arial"/>
                <w:bCs/>
                <w:sz w:val="22"/>
                <w:szCs w:val="22"/>
              </w:rPr>
            </w:pPr>
            <w:r w:rsidRPr="00475EE8">
              <w:rPr>
                <w:rFonts w:cs="Arial"/>
                <w:bCs/>
                <w:sz w:val="22"/>
                <w:szCs w:val="22"/>
              </w:rPr>
              <w:t>El artículo 2 de la Ley 1955 de 2019 “por la cual se expide el Plan Nacional de Desarrollo 2018-2022. “Pacto por Colombia, Pacto por la Equidad”, estableció que “El documento denominado “Bases del Plan Nacional de Desarrollo 2018 - 2022: Pacto por Colombia, pacto por la equidad”, elaborado por el Gobierno nacional con la participación del Consejo Superior de la Judicatura y del Consejo Nacional de Planeación, y construido desde los territorios, con las modificaciones realizadas en el trámite legislativo, es parte integral del Plan Nacional de Desarrollo, y se incorpora a la presente Ley como un anexo”. </w:t>
            </w:r>
          </w:p>
          <w:p w14:paraId="36F2ADAD" w14:textId="77777777" w:rsidR="00D16486" w:rsidRPr="00475EE8" w:rsidRDefault="00D16486" w:rsidP="00D16486">
            <w:pPr>
              <w:jc w:val="both"/>
              <w:outlineLvl w:val="0"/>
              <w:rPr>
                <w:rFonts w:cs="Arial"/>
                <w:bCs/>
                <w:sz w:val="22"/>
                <w:szCs w:val="22"/>
                <w:lang w:val="es-CO"/>
              </w:rPr>
            </w:pPr>
          </w:p>
          <w:p w14:paraId="16FD950D" w14:textId="7FF981A0" w:rsidR="00D16486" w:rsidRPr="00475EE8" w:rsidRDefault="00D16486" w:rsidP="00D16486">
            <w:pPr>
              <w:jc w:val="both"/>
              <w:outlineLvl w:val="0"/>
              <w:rPr>
                <w:rFonts w:cs="Arial"/>
                <w:bCs/>
                <w:sz w:val="22"/>
                <w:szCs w:val="22"/>
              </w:rPr>
            </w:pPr>
            <w:r w:rsidRPr="00475EE8">
              <w:rPr>
                <w:rFonts w:cs="Arial"/>
                <w:bCs/>
                <w:sz w:val="22"/>
                <w:szCs w:val="22"/>
                <w:lang w:val="es-ES_tradnl"/>
              </w:rPr>
              <w:t>De esta forma se tiene que la línea K de las Bases del Plan Nacional del Desarrollo 2018 - 2022: Pacto por Colombia, pacto por la equidad describe: "Que nadie se quede atrás": Acciones coordinadas para la reducción de la pobreza y desigualdad, numeral 2 literal b, señala en su segundo objetivo "rediseñar y actualizar la focalización de los programas sociales, que el DNP implementará el SISBEN IV en el 2020, para que "con sus mejoras metodológicas y operativas sea la base para el ajuste en la focalización de programas sociales y una fuente de focalización para los programa</w:t>
            </w:r>
            <w:bookmarkStart w:id="2" w:name="_GoBack"/>
            <w:bookmarkEnd w:id="2"/>
            <w:r w:rsidRPr="00475EE8">
              <w:rPr>
                <w:rFonts w:cs="Arial"/>
                <w:bCs/>
                <w:sz w:val="22"/>
                <w:szCs w:val="22"/>
                <w:lang w:val="es-ES_tradnl"/>
              </w:rPr>
              <w:t xml:space="preserve">s que requieren rediseño". Así mismo, "el objetivo 3 señala: con la </w:t>
            </w:r>
            <w:proofErr w:type="gramStart"/>
            <w:r w:rsidRPr="00475EE8">
              <w:rPr>
                <w:rFonts w:cs="Arial"/>
                <w:bCs/>
                <w:sz w:val="22"/>
                <w:szCs w:val="22"/>
                <w:lang w:val="es-ES_tradnl"/>
              </w:rPr>
              <w:t>entrada en vigencia</w:t>
            </w:r>
            <w:proofErr w:type="gramEnd"/>
            <w:r w:rsidRPr="00475EE8">
              <w:rPr>
                <w:rFonts w:cs="Arial"/>
                <w:bCs/>
                <w:sz w:val="22"/>
                <w:szCs w:val="22"/>
                <w:lang w:val="es-ES_tradnl"/>
              </w:rPr>
              <w:t xml:space="preserve"> del SISBEN IV, en 2020, la evidencia acumulada de sus actuaciones realizadas y con los resultados de evaluación del programa previstos para el 2019, Familias en Acción, determinara los ajustes en su diseño, focalización, cobertura y mecanismos regulares de permanencia y salida de beneficiarios (...)".  </w:t>
            </w:r>
          </w:p>
          <w:p w14:paraId="194BC6FA" w14:textId="77777777" w:rsidR="00D16486" w:rsidRPr="00475EE8" w:rsidRDefault="00D16486" w:rsidP="00D16486">
            <w:pPr>
              <w:autoSpaceDE w:val="0"/>
              <w:autoSpaceDN w:val="0"/>
              <w:adjustRightInd w:val="0"/>
              <w:jc w:val="both"/>
              <w:rPr>
                <w:rFonts w:cs="Arial"/>
                <w:sz w:val="22"/>
                <w:szCs w:val="22"/>
                <w:lang w:val="es-CO"/>
              </w:rPr>
            </w:pPr>
          </w:p>
          <w:p w14:paraId="0B1D2197" w14:textId="77777777" w:rsidR="00D16486" w:rsidRPr="00475EE8" w:rsidRDefault="00D16486" w:rsidP="00D16486">
            <w:pPr>
              <w:jc w:val="both"/>
              <w:outlineLvl w:val="0"/>
              <w:rPr>
                <w:rFonts w:cs="Arial"/>
                <w:bCs/>
                <w:sz w:val="22"/>
                <w:szCs w:val="22"/>
              </w:rPr>
            </w:pPr>
          </w:p>
          <w:p w14:paraId="779E5D3E" w14:textId="77777777" w:rsidR="00D16486" w:rsidRPr="00475EE8" w:rsidRDefault="00D16486" w:rsidP="00D16486">
            <w:pPr>
              <w:pStyle w:val="Prrafodelista"/>
              <w:numPr>
                <w:ilvl w:val="1"/>
                <w:numId w:val="11"/>
              </w:numPr>
              <w:jc w:val="both"/>
              <w:outlineLvl w:val="0"/>
              <w:rPr>
                <w:rFonts w:cs="Arial"/>
                <w:b/>
                <w:bCs/>
                <w:sz w:val="22"/>
                <w:szCs w:val="22"/>
              </w:rPr>
            </w:pPr>
            <w:r w:rsidRPr="00475EE8">
              <w:rPr>
                <w:rFonts w:cs="Arial"/>
                <w:b/>
                <w:bCs/>
                <w:sz w:val="22"/>
                <w:szCs w:val="22"/>
              </w:rPr>
              <w:t>Contexto social y económico.</w:t>
            </w:r>
          </w:p>
          <w:p w14:paraId="116C06FE" w14:textId="77777777" w:rsidR="00D16486" w:rsidRPr="00475EE8" w:rsidRDefault="00D16486" w:rsidP="00D16486">
            <w:pPr>
              <w:jc w:val="both"/>
              <w:outlineLvl w:val="0"/>
              <w:rPr>
                <w:rFonts w:cs="Arial"/>
                <w:b/>
                <w:bCs/>
                <w:sz w:val="22"/>
                <w:szCs w:val="22"/>
              </w:rPr>
            </w:pPr>
          </w:p>
          <w:p w14:paraId="7854EE4D" w14:textId="64E3EAF2" w:rsidR="00D16486" w:rsidRDefault="00D16486" w:rsidP="00D16486">
            <w:pPr>
              <w:jc w:val="both"/>
              <w:outlineLvl w:val="0"/>
              <w:rPr>
                <w:rFonts w:cs="Arial"/>
                <w:bCs/>
                <w:sz w:val="22"/>
                <w:szCs w:val="22"/>
                <w:lang w:val="es-ES_tradnl"/>
              </w:rPr>
            </w:pPr>
            <w:r>
              <w:rPr>
                <w:rFonts w:cs="Arial"/>
                <w:bCs/>
                <w:sz w:val="22"/>
                <w:szCs w:val="22"/>
                <w:lang w:val="es-ES_tradnl"/>
              </w:rPr>
              <w:t>D</w:t>
            </w:r>
            <w:r w:rsidRPr="00475EE8">
              <w:rPr>
                <w:rFonts w:cs="Arial"/>
                <w:bCs/>
                <w:sz w:val="22"/>
                <w:szCs w:val="22"/>
                <w:lang w:val="es-ES_tradnl"/>
              </w:rPr>
              <w:t xml:space="preserve">e conformidad con el resultado de la Gran Encuesta Integrada de Hogares 2021, publicado por el Departamento Administrativo Nacional de </w:t>
            </w:r>
            <w:r w:rsidR="00F55E40" w:rsidRPr="00475EE8">
              <w:rPr>
                <w:rFonts w:cs="Arial"/>
                <w:bCs/>
                <w:sz w:val="22"/>
                <w:szCs w:val="22"/>
                <w:lang w:val="es-ES_tradnl"/>
              </w:rPr>
              <w:t>Estadística</w:t>
            </w:r>
            <w:r w:rsidRPr="00475EE8">
              <w:rPr>
                <w:rFonts w:cs="Arial"/>
                <w:bCs/>
                <w:sz w:val="22"/>
                <w:szCs w:val="22"/>
                <w:lang w:val="es-ES_tradnl"/>
              </w:rPr>
              <w:t xml:space="preserve"> –DANE– en abril de 2022, en Colombia existen 6.1 millones de personas en situación de pobreza monetaria, es decir que no tienen el ingreso mínimo necesario para adquirir una canasta básica alimentaria que cubra 2.100 calorías recomendadas por la FAO y que en promedio equivale a 161.099 pesos mensuales por persona.  Esta situación afecta de manera diferencial, pues al revisar las características de los pobres extremos se identifica que 3.2 millones son mujeres, 2.9 millones son niños, niñas y adolescentes, 1.4 millones son víctimas del conflicto armado y 1.2 millones de personas pertenecen a poblaciones indígenas, negras, raizales o palenqueras. Es decir, las poblaciones más vulnerables padecen de inseguridad alimentaria por falta de dinero para adquirir alimentos.</w:t>
            </w:r>
          </w:p>
          <w:p w14:paraId="6D46EA5E" w14:textId="77777777" w:rsidR="00D16486" w:rsidRDefault="00D16486" w:rsidP="00D16486">
            <w:pPr>
              <w:jc w:val="both"/>
              <w:outlineLvl w:val="0"/>
              <w:rPr>
                <w:rFonts w:cs="Arial"/>
                <w:bCs/>
                <w:sz w:val="22"/>
                <w:szCs w:val="22"/>
                <w:lang w:val="es-ES_tradnl"/>
              </w:rPr>
            </w:pPr>
          </w:p>
          <w:p w14:paraId="549A15A7" w14:textId="0561AF66" w:rsidR="00D16486" w:rsidRPr="00475EE8" w:rsidRDefault="00D16486" w:rsidP="00D16486">
            <w:pPr>
              <w:jc w:val="both"/>
              <w:outlineLvl w:val="0"/>
              <w:rPr>
                <w:rFonts w:cs="Arial"/>
                <w:bCs/>
                <w:sz w:val="22"/>
                <w:szCs w:val="22"/>
                <w:lang w:val="es-ES_tradnl"/>
              </w:rPr>
            </w:pPr>
            <w:r>
              <w:rPr>
                <w:rFonts w:cs="Arial"/>
                <w:bCs/>
                <w:sz w:val="22"/>
                <w:szCs w:val="22"/>
                <w:lang w:val="es-ES_tradnl"/>
              </w:rPr>
              <w:t xml:space="preserve">Por otro </w:t>
            </w:r>
            <w:proofErr w:type="gramStart"/>
            <w:r>
              <w:rPr>
                <w:rFonts w:cs="Arial"/>
                <w:bCs/>
                <w:sz w:val="22"/>
                <w:szCs w:val="22"/>
                <w:lang w:val="es-ES_tradnl"/>
              </w:rPr>
              <w:t>lado</w:t>
            </w:r>
            <w:proofErr w:type="gramEnd"/>
            <w:r>
              <w:rPr>
                <w:rFonts w:cs="Arial"/>
                <w:bCs/>
                <w:sz w:val="22"/>
                <w:szCs w:val="22"/>
                <w:lang w:val="es-ES_tradnl"/>
              </w:rPr>
              <w:t xml:space="preserve"> y d</w:t>
            </w:r>
            <w:r w:rsidRPr="00475EE8">
              <w:rPr>
                <w:rFonts w:cs="Arial"/>
                <w:bCs/>
                <w:sz w:val="22"/>
                <w:szCs w:val="22"/>
                <w:lang w:val="es-ES_tradnl"/>
              </w:rPr>
              <w:t xml:space="preserve">e acuerdo </w:t>
            </w:r>
            <w:r w:rsidR="00F55E40">
              <w:rPr>
                <w:rFonts w:cs="Arial"/>
                <w:bCs/>
                <w:sz w:val="22"/>
                <w:szCs w:val="22"/>
                <w:lang w:val="es-ES_tradnl"/>
              </w:rPr>
              <w:t>con</w:t>
            </w:r>
            <w:r w:rsidRPr="00475EE8">
              <w:rPr>
                <w:rFonts w:cs="Arial"/>
                <w:bCs/>
                <w:sz w:val="22"/>
                <w:szCs w:val="22"/>
                <w:lang w:val="es-ES_tradnl"/>
              </w:rPr>
              <w:t xml:space="preserve"> lo señalado en </w:t>
            </w:r>
            <w:r w:rsidRPr="00475EE8">
              <w:rPr>
                <w:rFonts w:cs="Arial"/>
                <w:bCs/>
                <w:sz w:val="22"/>
                <w:szCs w:val="22"/>
                <w:lang w:val="es-CO"/>
              </w:rPr>
              <w:t xml:space="preserve">el boletín técnico del Índice de Precios al Consumidor IPC, DANE de octubre de 2022, este año </w:t>
            </w:r>
            <w:r w:rsidRPr="00475EE8">
              <w:rPr>
                <w:rFonts w:cs="Arial"/>
                <w:bCs/>
                <w:sz w:val="22"/>
                <w:szCs w:val="22"/>
                <w:lang w:val="es-ES_tradnl"/>
              </w:rPr>
              <w:t>se espera que esta situación de inseguridad alimentaria se agudice por el aumento generalizado de la inflación, en especial de alimentos</w:t>
            </w:r>
            <w:r w:rsidRPr="00475EE8">
              <w:rPr>
                <w:rFonts w:cs="Arial"/>
                <w:bCs/>
                <w:sz w:val="22"/>
                <w:szCs w:val="22"/>
                <w:vertAlign w:val="superscript"/>
                <w:lang w:val="es-ES_tradnl"/>
              </w:rPr>
              <w:t>.</w:t>
            </w:r>
            <w:r w:rsidRPr="00475EE8">
              <w:rPr>
                <w:rFonts w:cs="Arial"/>
                <w:bCs/>
                <w:sz w:val="22"/>
                <w:szCs w:val="22"/>
                <w:lang w:val="es-ES_tradnl"/>
              </w:rPr>
              <w:t xml:space="preserve"> En lo corrido del año, (enero – septiembre 2022), el grupo de alimentos y bebidas no alcohólicas registra una inflación acumulada de 21.2%. Un valor que duplica el promedio nacional que a corte de 30 de septiembre se ubicó en 10,1% y es el más alto de las </w:t>
            </w:r>
            <w:r w:rsidRPr="00475EE8">
              <w:rPr>
                <w:rFonts w:cs="Arial"/>
                <w:bCs/>
                <w:sz w:val="22"/>
                <w:szCs w:val="22"/>
                <w:lang w:val="es-ES_tradnl"/>
              </w:rPr>
              <w:lastRenderedPageBreak/>
              <w:t xml:space="preserve">últimas dos décadas. </w:t>
            </w:r>
            <w:r w:rsidR="00F55E40">
              <w:rPr>
                <w:rFonts w:cs="Arial"/>
                <w:bCs/>
                <w:sz w:val="22"/>
                <w:szCs w:val="22"/>
                <w:lang w:val="es-ES_tradnl"/>
              </w:rPr>
              <w:t>D</w:t>
            </w:r>
            <w:r w:rsidRPr="00475EE8">
              <w:rPr>
                <w:rFonts w:cs="Arial"/>
                <w:bCs/>
                <w:sz w:val="22"/>
                <w:szCs w:val="22"/>
                <w:lang w:val="es-ES_tradnl"/>
              </w:rPr>
              <w:t>ebido a que el grupo de alimentos registra la mayor inflación, afecta de manera más severa a la población pobre debido a que destinan mayor proporción de dinero en la compra de alimentos y bienes básicos. En lo corrido del año, la variación del Índice de Precios al Consumidor – IPC para la población pobres fue de 11,4% y vulnerables de 11,3%. Es decir, por encima del promedio de inflación de 10.1%.</w:t>
            </w:r>
          </w:p>
          <w:p w14:paraId="363D8B19" w14:textId="77777777" w:rsidR="00D16486" w:rsidRPr="00475EE8" w:rsidRDefault="00D16486" w:rsidP="00D16486">
            <w:pPr>
              <w:jc w:val="both"/>
              <w:outlineLvl w:val="0"/>
              <w:rPr>
                <w:rFonts w:cs="Arial"/>
                <w:bCs/>
                <w:sz w:val="22"/>
                <w:szCs w:val="22"/>
                <w:lang w:val="es-ES_tradnl"/>
              </w:rPr>
            </w:pPr>
          </w:p>
          <w:p w14:paraId="720E1958" w14:textId="77777777" w:rsidR="00D16486" w:rsidRPr="00475EE8" w:rsidRDefault="00D16486" w:rsidP="00D16486">
            <w:pPr>
              <w:jc w:val="both"/>
              <w:outlineLvl w:val="0"/>
              <w:rPr>
                <w:rFonts w:cs="Arial"/>
                <w:bCs/>
                <w:sz w:val="22"/>
                <w:szCs w:val="22"/>
                <w:lang w:val="es-ES_tradnl"/>
              </w:rPr>
            </w:pPr>
            <w:r>
              <w:rPr>
                <w:rFonts w:cs="Arial"/>
                <w:bCs/>
                <w:sz w:val="22"/>
                <w:szCs w:val="22"/>
                <w:lang w:val="es-ES_tradnl"/>
              </w:rPr>
              <w:t>E</w:t>
            </w:r>
            <w:r w:rsidRPr="00475EE8">
              <w:rPr>
                <w:rFonts w:cs="Arial"/>
                <w:bCs/>
                <w:sz w:val="22"/>
                <w:szCs w:val="22"/>
                <w:lang w:val="es-ES_tradnl"/>
              </w:rPr>
              <w:t xml:space="preserve">n el aspecto </w:t>
            </w:r>
            <w:r>
              <w:rPr>
                <w:rFonts w:cs="Arial"/>
                <w:bCs/>
                <w:sz w:val="22"/>
                <w:szCs w:val="22"/>
                <w:lang w:val="es-ES_tradnl"/>
              </w:rPr>
              <w:t>macro</w:t>
            </w:r>
            <w:r w:rsidRPr="00475EE8">
              <w:rPr>
                <w:rFonts w:cs="Arial"/>
                <w:bCs/>
                <w:sz w:val="22"/>
                <w:szCs w:val="22"/>
                <w:lang w:val="es-ES_tradnl"/>
              </w:rPr>
              <w:t xml:space="preserve">económico, el aumento de las tasas de interés podría desacelerar notablemente el crecimiento para 2023. </w:t>
            </w:r>
            <w:r>
              <w:rPr>
                <w:rFonts w:cs="Arial"/>
                <w:bCs/>
                <w:sz w:val="22"/>
                <w:szCs w:val="22"/>
                <w:lang w:val="es-ES_tradnl"/>
              </w:rPr>
              <w:t>A</w:t>
            </w:r>
            <w:r w:rsidRPr="00475EE8">
              <w:rPr>
                <w:rFonts w:cs="Arial"/>
                <w:bCs/>
                <w:sz w:val="22"/>
                <w:szCs w:val="22"/>
                <w:lang w:val="es-ES_tradnl"/>
              </w:rPr>
              <w:t>l mismo tiempo se espera que la inflación permanezca elevada debido al precio de los insumos importados que se transmiten al consumidor local, a la ruptura en las cadenas de abastecimiento, la ola invernal de finales de 2022 que afectará la producción agrícola local y a la baja capacidad adquisitiva por actual depreciación del peso.</w:t>
            </w:r>
          </w:p>
          <w:p w14:paraId="21EF27F4" w14:textId="77777777" w:rsidR="00D16486" w:rsidRPr="00475EE8" w:rsidRDefault="00D16486" w:rsidP="00D16486">
            <w:pPr>
              <w:jc w:val="both"/>
              <w:outlineLvl w:val="0"/>
              <w:rPr>
                <w:rFonts w:cs="Arial"/>
                <w:bCs/>
                <w:sz w:val="22"/>
                <w:szCs w:val="22"/>
                <w:lang w:val="es-ES_tradnl"/>
              </w:rPr>
            </w:pPr>
          </w:p>
          <w:p w14:paraId="6EDC6D2A" w14:textId="0F9280FF" w:rsidR="00D16486" w:rsidRPr="00475EE8" w:rsidRDefault="00D16486" w:rsidP="00D16486">
            <w:pPr>
              <w:jc w:val="both"/>
              <w:outlineLvl w:val="0"/>
              <w:rPr>
                <w:rFonts w:cs="Arial"/>
                <w:bCs/>
                <w:sz w:val="22"/>
                <w:szCs w:val="22"/>
                <w:lang w:val="es-ES_tradnl"/>
              </w:rPr>
            </w:pPr>
            <w:r>
              <w:rPr>
                <w:rFonts w:cs="Arial"/>
                <w:bCs/>
                <w:sz w:val="22"/>
                <w:szCs w:val="22"/>
                <w:lang w:val="es-ES_tradnl"/>
              </w:rPr>
              <w:t>En línea con lo anterior,</w:t>
            </w:r>
            <w:r w:rsidRPr="00475EE8">
              <w:rPr>
                <w:rFonts w:cs="Arial"/>
                <w:bCs/>
                <w:sz w:val="22"/>
                <w:szCs w:val="22"/>
                <w:lang w:val="es-ES_tradnl"/>
              </w:rPr>
              <w:t xml:space="preserve"> la Organización de las Naciones Unidas para la Alimentación y la Agricultura (FAO) y el Programa Mundial de Alimentos (PMA) en su informe “</w:t>
            </w:r>
            <w:r w:rsidRPr="00475EE8">
              <w:rPr>
                <w:rFonts w:cs="Arial"/>
                <w:bCs/>
                <w:i/>
                <w:sz w:val="22"/>
                <w:szCs w:val="22"/>
                <w:lang w:val="es-ES_tradnl"/>
              </w:rPr>
              <w:t>Puntos críticos del hambre Alertas tempranas de la FAO y el PMA sobre inseguridad alimentaria aguda Perspectivas de octubre de 2022 a enero de 2023</w:t>
            </w:r>
            <w:r w:rsidRPr="00475EE8">
              <w:rPr>
                <w:rFonts w:cs="Arial"/>
                <w:bCs/>
                <w:sz w:val="22"/>
                <w:szCs w:val="22"/>
                <w:lang w:val="es-ES_tradnl"/>
              </w:rPr>
              <w:t>” reseña  a Colombia dentro del grupo de países de especial seguimiento debido a sus niveles significativos de inseguridad alimentaria, explicados a causa de una combinación de factores económicos, adicional a los impactos sociales de la crisis migratoria venezolana y el significativo número de desplazamiento interno que todavía registra el país.</w:t>
            </w:r>
          </w:p>
          <w:p w14:paraId="1954E6EF" w14:textId="77777777" w:rsidR="00D16486" w:rsidRPr="00475EE8" w:rsidRDefault="00D16486" w:rsidP="00D16486">
            <w:pPr>
              <w:jc w:val="both"/>
              <w:outlineLvl w:val="0"/>
              <w:rPr>
                <w:rFonts w:cs="Arial"/>
                <w:bCs/>
                <w:sz w:val="22"/>
                <w:szCs w:val="22"/>
                <w:lang w:val="es-ES_tradnl"/>
              </w:rPr>
            </w:pPr>
          </w:p>
          <w:p w14:paraId="692C3045" w14:textId="77777777" w:rsidR="00D16486" w:rsidRPr="00E2015F" w:rsidRDefault="00D16486" w:rsidP="00D16486">
            <w:pPr>
              <w:jc w:val="both"/>
              <w:outlineLvl w:val="0"/>
              <w:rPr>
                <w:rFonts w:cs="Arial"/>
                <w:bCs/>
                <w:sz w:val="22"/>
                <w:szCs w:val="22"/>
              </w:rPr>
            </w:pPr>
            <w:r w:rsidRPr="00E2015F">
              <w:rPr>
                <w:rFonts w:cs="Arial"/>
                <w:bCs/>
                <w:sz w:val="22"/>
                <w:szCs w:val="22"/>
                <w:lang w:val="es-CO"/>
              </w:rPr>
              <w:t xml:space="preserve">El Fondo Monetario Internacional (FMI), en su informe </w:t>
            </w:r>
            <w:r w:rsidRPr="00E2015F">
              <w:rPr>
                <w:rFonts w:cs="Arial"/>
                <w:bCs/>
                <w:sz w:val="22"/>
                <w:szCs w:val="22"/>
              </w:rPr>
              <w:t>“Perspectivas para Las Américas” de Octubre de 2022 el FMI, señaló que</w:t>
            </w:r>
            <w:r>
              <w:rPr>
                <w:rFonts w:cs="Arial"/>
                <w:bCs/>
                <w:sz w:val="22"/>
                <w:szCs w:val="22"/>
              </w:rPr>
              <w:t>:</w:t>
            </w:r>
            <w:r w:rsidRPr="00E2015F">
              <w:rPr>
                <w:rFonts w:cs="Arial"/>
                <w:bCs/>
                <w:sz w:val="22"/>
                <w:szCs w:val="22"/>
              </w:rPr>
              <w:t xml:space="preserve"> </w:t>
            </w:r>
          </w:p>
          <w:p w14:paraId="5F44B1EA" w14:textId="77777777" w:rsidR="00D16486" w:rsidRPr="00E2015F" w:rsidRDefault="00D16486" w:rsidP="00D16486">
            <w:pPr>
              <w:jc w:val="both"/>
              <w:outlineLvl w:val="0"/>
              <w:rPr>
                <w:rFonts w:cs="Arial"/>
                <w:bCs/>
                <w:sz w:val="22"/>
                <w:szCs w:val="22"/>
              </w:rPr>
            </w:pPr>
          </w:p>
          <w:p w14:paraId="696A3898" w14:textId="77777777" w:rsidR="00D16486" w:rsidRPr="00E2015F" w:rsidRDefault="00D16486" w:rsidP="00D16486">
            <w:pPr>
              <w:ind w:left="708"/>
              <w:jc w:val="both"/>
              <w:outlineLvl w:val="0"/>
              <w:rPr>
                <w:rFonts w:cs="Arial"/>
                <w:bCs/>
                <w:sz w:val="22"/>
                <w:szCs w:val="22"/>
              </w:rPr>
            </w:pPr>
            <w:r w:rsidRPr="00E2015F">
              <w:rPr>
                <w:rFonts w:cs="Arial"/>
                <w:bCs/>
                <w:sz w:val="22"/>
                <w:szCs w:val="22"/>
              </w:rPr>
              <w:t xml:space="preserve">“(…) las presiones inflacionarias se acumularon debido a perturbaciones relacionadas con la pandemia, la adopción de políticas expansivas, el repunte de la demanda y el efecto que la guerra en Ucrania ha tenido sobre los precios de la energía y los alimentos. La rápida respuesta de las autoridades monetarias de América Latina frente al aumento de la inflación —mucho antes que en otras economías— ayudó a contener las presiones en los precios y a mantener ancladas las expectativas inflacionarias a largo plazo, pero la inflación sigue siendo elevada. </w:t>
            </w:r>
          </w:p>
          <w:p w14:paraId="2B0A1036" w14:textId="77777777" w:rsidR="00D16486" w:rsidRPr="00E2015F" w:rsidRDefault="00D16486" w:rsidP="00D16486">
            <w:pPr>
              <w:ind w:left="708"/>
              <w:jc w:val="both"/>
              <w:outlineLvl w:val="0"/>
              <w:rPr>
                <w:rFonts w:cs="Arial"/>
                <w:bCs/>
                <w:sz w:val="22"/>
                <w:szCs w:val="22"/>
              </w:rPr>
            </w:pPr>
          </w:p>
          <w:p w14:paraId="3C1CBE29" w14:textId="77777777" w:rsidR="00D16486" w:rsidRPr="00E2015F" w:rsidRDefault="00D16486" w:rsidP="00D16486">
            <w:pPr>
              <w:ind w:left="708"/>
              <w:jc w:val="both"/>
              <w:outlineLvl w:val="0"/>
              <w:rPr>
                <w:rFonts w:cs="Arial"/>
                <w:bCs/>
                <w:sz w:val="22"/>
                <w:szCs w:val="22"/>
              </w:rPr>
            </w:pPr>
            <w:r w:rsidRPr="00E2015F">
              <w:rPr>
                <w:rFonts w:cs="Arial"/>
                <w:bCs/>
                <w:sz w:val="22"/>
                <w:szCs w:val="22"/>
              </w:rPr>
              <w:t>En medio del endurecimiento monetario y financiero mundial, y la consiguiente ralentización del crecimiento mundial y la moderación de los precios de las materias primas, se prevé que la actividad se desacelere en toda la región de las Américas a finales de 2022 y en 2023.</w:t>
            </w:r>
          </w:p>
          <w:p w14:paraId="35B7FCDE" w14:textId="77777777" w:rsidR="00D16486" w:rsidRPr="00E2015F" w:rsidRDefault="00D16486" w:rsidP="00D16486">
            <w:pPr>
              <w:ind w:left="708"/>
              <w:jc w:val="both"/>
              <w:outlineLvl w:val="0"/>
              <w:rPr>
                <w:rFonts w:cs="Arial"/>
                <w:bCs/>
                <w:sz w:val="22"/>
                <w:szCs w:val="22"/>
              </w:rPr>
            </w:pPr>
          </w:p>
          <w:p w14:paraId="6E6C9F8C" w14:textId="77777777" w:rsidR="00D16486" w:rsidRPr="00E2015F" w:rsidRDefault="00D16486" w:rsidP="00D16486">
            <w:pPr>
              <w:ind w:left="708"/>
              <w:jc w:val="both"/>
              <w:outlineLvl w:val="0"/>
              <w:rPr>
                <w:rFonts w:cs="Arial"/>
                <w:bCs/>
                <w:sz w:val="22"/>
                <w:szCs w:val="22"/>
              </w:rPr>
            </w:pPr>
            <w:r w:rsidRPr="00E2015F">
              <w:rPr>
                <w:rFonts w:cs="Arial"/>
                <w:bCs/>
                <w:sz w:val="22"/>
                <w:szCs w:val="22"/>
              </w:rPr>
              <w:t>(…)</w:t>
            </w:r>
            <w:r w:rsidRPr="00E2015F">
              <w:rPr>
                <w:rFonts w:cs="Arial"/>
                <w:bCs/>
                <w:sz w:val="22"/>
                <w:szCs w:val="22"/>
                <w:lang w:val="es-ES_tradnl"/>
              </w:rPr>
              <w:t>.</w:t>
            </w:r>
            <w:r w:rsidRPr="00E2015F">
              <w:rPr>
                <w:rFonts w:cs="Arial"/>
                <w:bCs/>
                <w:sz w:val="22"/>
                <w:szCs w:val="22"/>
              </w:rPr>
              <w:t xml:space="preserve"> </w:t>
            </w:r>
          </w:p>
          <w:p w14:paraId="5831A1F6" w14:textId="77777777" w:rsidR="00D16486" w:rsidRPr="00E2015F" w:rsidRDefault="00D16486" w:rsidP="00D16486">
            <w:pPr>
              <w:ind w:left="708"/>
              <w:jc w:val="both"/>
              <w:outlineLvl w:val="0"/>
              <w:rPr>
                <w:rFonts w:cs="Arial"/>
                <w:bCs/>
                <w:sz w:val="22"/>
                <w:szCs w:val="22"/>
                <w:lang w:val="es-CO"/>
              </w:rPr>
            </w:pPr>
          </w:p>
          <w:p w14:paraId="031F4DFC" w14:textId="77777777" w:rsidR="00D16486" w:rsidRPr="00E2015F" w:rsidRDefault="00D16486" w:rsidP="00D16486">
            <w:pPr>
              <w:ind w:left="708"/>
              <w:jc w:val="both"/>
              <w:outlineLvl w:val="0"/>
              <w:rPr>
                <w:rFonts w:cs="Arial"/>
                <w:bCs/>
                <w:sz w:val="22"/>
                <w:szCs w:val="22"/>
                <w:lang w:val="es-CO"/>
              </w:rPr>
            </w:pPr>
            <w:r w:rsidRPr="00E2015F">
              <w:rPr>
                <w:rFonts w:cs="Arial"/>
                <w:bCs/>
                <w:sz w:val="22"/>
                <w:szCs w:val="22"/>
                <w:lang w:val="es-CO"/>
              </w:rPr>
              <w:t xml:space="preserve">Sin embargo, dadas las urgentes necesidades sociales de la región, las políticas para reducir la deuda y los déficits solo pueden ser eficaces y duraderas si son inclusivas, es decir, si protegen a los pobres. </w:t>
            </w:r>
          </w:p>
          <w:p w14:paraId="62FF7A70" w14:textId="77777777" w:rsidR="00D16486" w:rsidRPr="00E2015F" w:rsidRDefault="00D16486" w:rsidP="00D16486">
            <w:pPr>
              <w:ind w:left="708"/>
              <w:jc w:val="both"/>
              <w:outlineLvl w:val="0"/>
              <w:rPr>
                <w:rFonts w:cs="Arial"/>
                <w:bCs/>
                <w:sz w:val="22"/>
                <w:szCs w:val="22"/>
                <w:lang w:val="es-CO"/>
              </w:rPr>
            </w:pPr>
          </w:p>
          <w:p w14:paraId="7E08F5E0" w14:textId="77777777" w:rsidR="00D16486" w:rsidRPr="00DB251A" w:rsidRDefault="00D16486" w:rsidP="00D16486">
            <w:pPr>
              <w:ind w:left="708"/>
              <w:jc w:val="both"/>
              <w:outlineLvl w:val="0"/>
              <w:rPr>
                <w:rFonts w:cs="Arial"/>
                <w:bCs/>
                <w:sz w:val="22"/>
                <w:szCs w:val="22"/>
                <w:lang w:val="es-CO"/>
              </w:rPr>
            </w:pPr>
            <w:r w:rsidRPr="00DB251A">
              <w:rPr>
                <w:rFonts w:cs="Arial"/>
                <w:bCs/>
                <w:sz w:val="22"/>
                <w:szCs w:val="22"/>
                <w:lang w:val="es-CO"/>
              </w:rPr>
              <w:t>Aun cuando exista margen de maniobra fiscal, la política fiscal también debe ir de la mano de la política monetaria y centrarse en apoyar a los grupos vulnerables, en especial mientras persista la inflación elevada y el crecimiento se debilite, pero sin estimular la demanda interna. Esto requerirá una calibración cuidadosa para compensar las medidas de gasto de protección a los pobres</w:t>
            </w:r>
            <w:r w:rsidRPr="00E2015F">
              <w:rPr>
                <w:rFonts w:cs="Arial"/>
                <w:bCs/>
                <w:sz w:val="22"/>
                <w:szCs w:val="22"/>
                <w:lang w:val="es-CO"/>
              </w:rPr>
              <w:t xml:space="preserve"> (…)”</w:t>
            </w:r>
            <w:r w:rsidRPr="00DB251A">
              <w:rPr>
                <w:rFonts w:cs="Arial"/>
                <w:bCs/>
                <w:sz w:val="22"/>
                <w:szCs w:val="22"/>
                <w:lang w:val="es-CO"/>
              </w:rPr>
              <w:t>.</w:t>
            </w:r>
          </w:p>
          <w:p w14:paraId="38CD8564" w14:textId="77777777" w:rsidR="00D16486" w:rsidRPr="00475EE8" w:rsidRDefault="00D16486" w:rsidP="00D16486">
            <w:pPr>
              <w:jc w:val="both"/>
              <w:outlineLvl w:val="0"/>
              <w:rPr>
                <w:rFonts w:cs="Arial"/>
                <w:bCs/>
                <w:sz w:val="22"/>
                <w:szCs w:val="22"/>
                <w:lang w:val="es-ES_tradnl"/>
              </w:rPr>
            </w:pPr>
          </w:p>
          <w:p w14:paraId="3F832046" w14:textId="77777777" w:rsidR="00D16486" w:rsidRPr="00475EE8" w:rsidRDefault="00D16486" w:rsidP="00D16486">
            <w:pPr>
              <w:jc w:val="both"/>
              <w:outlineLvl w:val="0"/>
              <w:rPr>
                <w:rFonts w:cs="Arial"/>
                <w:bCs/>
                <w:sz w:val="22"/>
                <w:szCs w:val="22"/>
                <w:lang w:val="es-ES_tradnl"/>
              </w:rPr>
            </w:pPr>
            <w:r>
              <w:rPr>
                <w:rFonts w:cs="Arial"/>
                <w:bCs/>
                <w:sz w:val="22"/>
                <w:szCs w:val="22"/>
                <w:lang w:val="es-ES_tradnl"/>
              </w:rPr>
              <w:t>En complemento,</w:t>
            </w:r>
            <w:r w:rsidRPr="00475EE8">
              <w:rPr>
                <w:rFonts w:cs="Arial"/>
                <w:bCs/>
                <w:sz w:val="22"/>
                <w:szCs w:val="22"/>
                <w:lang w:val="es-ES_tradnl"/>
              </w:rPr>
              <w:t xml:space="preserve"> el informe “Perspectivas económicas de América Latina 2022: hacia una transición verde y justa” publicado por la Organización para la Cooperación y el Desarrollo Económicos (OCDE), la Comisión Económica para América Latina y el Caribe (CPAL), el Banco de Desarrollo de América Latina</w:t>
            </w:r>
            <w:r w:rsidRPr="00475EE8" w:rsidDel="00EC2C94">
              <w:rPr>
                <w:rFonts w:cs="Arial"/>
                <w:bCs/>
                <w:sz w:val="22"/>
                <w:szCs w:val="22"/>
                <w:lang w:val="es-ES_tradnl"/>
              </w:rPr>
              <w:t xml:space="preserve"> </w:t>
            </w:r>
            <w:r w:rsidRPr="00475EE8">
              <w:rPr>
                <w:rFonts w:cs="Arial"/>
                <w:bCs/>
                <w:sz w:val="22"/>
                <w:szCs w:val="22"/>
                <w:lang w:val="es-ES_tradnl"/>
              </w:rPr>
              <w:t>(CAF) y la Comisión Europea en noviembre de 2022, recomienda que “</w:t>
            </w:r>
            <w:r w:rsidRPr="00475EE8">
              <w:rPr>
                <w:rFonts w:cs="Arial"/>
                <w:bCs/>
                <w:i/>
                <w:sz w:val="22"/>
                <w:szCs w:val="22"/>
                <w:lang w:val="es-ES_tradnl"/>
              </w:rPr>
              <w:t>En respuesta al deterioro de las condiciones sociales, la respuesta de política pública desde el ámbito monetario debe ser acompañada de medidas fiscales que incluyan apoyos focalizados en los más vulnerables. Al mismo tiempo, será esencial avanzar gradualmente hacia sistemas de protección social universales, integrales, robustos y sostenibles</w:t>
            </w:r>
            <w:r w:rsidRPr="00475EE8">
              <w:rPr>
                <w:rFonts w:cs="Arial"/>
                <w:bCs/>
                <w:sz w:val="22"/>
                <w:szCs w:val="22"/>
                <w:lang w:val="es-ES_tradnl"/>
              </w:rPr>
              <w:t>”.</w:t>
            </w:r>
            <w:r w:rsidRPr="00475EE8" w:rsidDel="00EC2C94">
              <w:rPr>
                <w:rFonts w:cs="Arial"/>
                <w:bCs/>
                <w:sz w:val="22"/>
                <w:szCs w:val="22"/>
                <w:lang w:val="es-ES_tradnl"/>
              </w:rPr>
              <w:t xml:space="preserve"> </w:t>
            </w:r>
          </w:p>
          <w:p w14:paraId="2479FA31" w14:textId="77777777" w:rsidR="00D16486" w:rsidRPr="00475EE8" w:rsidRDefault="00D16486" w:rsidP="00D16486">
            <w:pPr>
              <w:jc w:val="both"/>
              <w:outlineLvl w:val="0"/>
              <w:rPr>
                <w:rFonts w:cs="Arial"/>
                <w:bCs/>
                <w:sz w:val="22"/>
                <w:szCs w:val="22"/>
                <w:lang w:val="es-ES_tradnl"/>
              </w:rPr>
            </w:pPr>
          </w:p>
          <w:p w14:paraId="767FFEB1" w14:textId="026B7F2C" w:rsidR="00D16486" w:rsidRPr="00475EE8" w:rsidRDefault="00D16486" w:rsidP="00D16486">
            <w:pPr>
              <w:jc w:val="both"/>
              <w:outlineLvl w:val="0"/>
              <w:rPr>
                <w:rFonts w:cs="Arial"/>
                <w:bCs/>
                <w:sz w:val="22"/>
                <w:szCs w:val="22"/>
                <w:lang w:val="es-ES_tradnl"/>
              </w:rPr>
            </w:pPr>
            <w:r>
              <w:rPr>
                <w:rFonts w:cs="Arial"/>
                <w:bCs/>
                <w:sz w:val="22"/>
                <w:szCs w:val="22"/>
                <w:lang w:val="es-ES_tradnl"/>
              </w:rPr>
              <w:t>Finalmente, es relevante resaltar que</w:t>
            </w:r>
            <w:r w:rsidRPr="00475EE8">
              <w:rPr>
                <w:rFonts w:cs="Arial"/>
                <w:bCs/>
                <w:sz w:val="22"/>
                <w:szCs w:val="22"/>
                <w:lang w:val="es-ES_tradnl"/>
              </w:rPr>
              <w:t xml:space="preserve"> la agenda global 2030 (Objetivos de Desarrollo Sostenible) estableció entre las metas de los Objetivos 1 “Fin de la Pobreza” y 2 “Hambre cero”, reducir al menos a la mitad la proporción de hombres, mujeres y niños y niñas de todas las edades que viven en la pobreza en todas sus dimensiones con arreglo a las definiciones nacionales; así como poner fin al hambre y asegurar el acceso de todas las personas, en particular los pobres y las personas en situaciones vulnerables, incluidos los lactantes, a una alimentación sana, nutritiva y suficiente durante todo el año .</w:t>
            </w:r>
          </w:p>
          <w:p w14:paraId="603C2FDB" w14:textId="77777777" w:rsidR="00D16486" w:rsidRPr="00402BE8" w:rsidRDefault="00D16486" w:rsidP="00D16486">
            <w:pPr>
              <w:jc w:val="both"/>
              <w:outlineLvl w:val="0"/>
              <w:rPr>
                <w:rFonts w:cs="Arial"/>
                <w:b/>
                <w:bCs/>
                <w:sz w:val="22"/>
                <w:szCs w:val="22"/>
              </w:rPr>
            </w:pPr>
          </w:p>
          <w:p w14:paraId="0004C06D" w14:textId="77777777" w:rsidR="00D16486" w:rsidRPr="00402BE8" w:rsidRDefault="00D16486" w:rsidP="00D16486">
            <w:pPr>
              <w:pStyle w:val="Prrafodelista"/>
              <w:numPr>
                <w:ilvl w:val="1"/>
                <w:numId w:val="11"/>
              </w:numPr>
              <w:jc w:val="both"/>
              <w:outlineLvl w:val="0"/>
              <w:rPr>
                <w:rFonts w:cs="Arial"/>
                <w:b/>
                <w:bCs/>
                <w:sz w:val="22"/>
                <w:szCs w:val="22"/>
              </w:rPr>
            </w:pPr>
            <w:r w:rsidRPr="00402BE8">
              <w:rPr>
                <w:rFonts w:cs="Arial"/>
                <w:b/>
                <w:bCs/>
                <w:sz w:val="22"/>
                <w:szCs w:val="22"/>
              </w:rPr>
              <w:t>Mesa de Equidad.</w:t>
            </w:r>
          </w:p>
          <w:p w14:paraId="5156BD3C" w14:textId="77777777" w:rsidR="00D16486" w:rsidRDefault="00D16486" w:rsidP="00D16486">
            <w:pPr>
              <w:jc w:val="both"/>
              <w:outlineLvl w:val="0"/>
              <w:rPr>
                <w:rFonts w:cs="Arial"/>
                <w:bCs/>
              </w:rPr>
            </w:pPr>
          </w:p>
          <w:p w14:paraId="07A68403" w14:textId="3646F95B" w:rsidR="00D16486" w:rsidRDefault="00F1201D" w:rsidP="00D16486">
            <w:pPr>
              <w:jc w:val="both"/>
              <w:outlineLvl w:val="0"/>
              <w:rPr>
                <w:rFonts w:cs="Arial"/>
                <w:bCs/>
                <w:sz w:val="22"/>
                <w:szCs w:val="22"/>
              </w:rPr>
            </w:pPr>
            <w:r>
              <w:rPr>
                <w:rFonts w:cs="Arial"/>
                <w:bCs/>
                <w:sz w:val="22"/>
                <w:szCs w:val="22"/>
              </w:rPr>
              <w:t xml:space="preserve">El </w:t>
            </w:r>
            <w:r w:rsidR="00D16486">
              <w:rPr>
                <w:rFonts w:cs="Arial"/>
                <w:bCs/>
                <w:sz w:val="22"/>
                <w:szCs w:val="22"/>
              </w:rPr>
              <w:t xml:space="preserve">artículo 211 de la Ley 1955 de 2019, creó la Mesa de Equidad </w:t>
            </w:r>
            <w:r w:rsidR="00D16486" w:rsidRPr="008F5302">
              <w:rPr>
                <w:rFonts w:cs="Arial"/>
                <w:bCs/>
                <w:i/>
                <w:sz w:val="22"/>
                <w:szCs w:val="22"/>
              </w:rPr>
              <w:t>“(…)como instancia de alto nivel, de carácter estratégico y decisorio, presidida y convocada por el Presidente de la República, con el objetivo de estable</w:t>
            </w:r>
            <w:r w:rsidR="00D16486" w:rsidRPr="008F5302">
              <w:rPr>
                <w:rFonts w:cs="Arial"/>
                <w:bCs/>
                <w:i/>
                <w:sz w:val="22"/>
                <w:szCs w:val="22"/>
              </w:rPr>
              <w:softHyphen/>
              <w:t>cer directrices para los sectores y entidades del Gobierno nacional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atención prioritaria a la población en condición de pobreza y pobreza extrema y el cumplimiento de las metas trazadoras en materia de pobre</w:t>
            </w:r>
            <w:r w:rsidR="00D16486" w:rsidRPr="008F5302">
              <w:rPr>
                <w:rFonts w:cs="Arial"/>
                <w:bCs/>
                <w:i/>
                <w:sz w:val="22"/>
                <w:szCs w:val="22"/>
              </w:rPr>
              <w:softHyphen/>
              <w:t>za”.</w:t>
            </w:r>
          </w:p>
          <w:p w14:paraId="1A2326EE" w14:textId="77777777" w:rsidR="00D16486" w:rsidRDefault="00D16486" w:rsidP="00D16486">
            <w:pPr>
              <w:jc w:val="both"/>
              <w:outlineLvl w:val="0"/>
              <w:rPr>
                <w:rFonts w:cs="Arial"/>
                <w:bCs/>
                <w:sz w:val="22"/>
                <w:szCs w:val="22"/>
              </w:rPr>
            </w:pPr>
          </w:p>
          <w:p w14:paraId="51994902" w14:textId="77777777" w:rsidR="00D16486" w:rsidRDefault="00D16486" w:rsidP="00D16486">
            <w:pPr>
              <w:jc w:val="both"/>
              <w:outlineLvl w:val="0"/>
              <w:rPr>
                <w:rFonts w:cs="Arial"/>
                <w:bCs/>
                <w:sz w:val="22"/>
                <w:szCs w:val="22"/>
                <w:lang w:val="es-CO"/>
              </w:rPr>
            </w:pPr>
            <w:r>
              <w:rPr>
                <w:rFonts w:cs="Arial"/>
                <w:bCs/>
                <w:sz w:val="22"/>
                <w:szCs w:val="22"/>
              </w:rPr>
              <w:t xml:space="preserve">Que el artículo </w:t>
            </w:r>
            <w:r w:rsidRPr="00C85E12">
              <w:rPr>
                <w:rFonts w:cs="Arial"/>
                <w:bCs/>
                <w:sz w:val="22"/>
                <w:szCs w:val="22"/>
              </w:rPr>
              <w:t>2.5.5.</w:t>
            </w:r>
            <w:r>
              <w:rPr>
                <w:rFonts w:cs="Arial"/>
                <w:bCs/>
                <w:sz w:val="22"/>
                <w:szCs w:val="22"/>
              </w:rPr>
              <w:t xml:space="preserve"> del Decreto 1084 de 2015 </w:t>
            </w:r>
            <w:r w:rsidRPr="00C85E12">
              <w:rPr>
                <w:rFonts w:cs="Arial"/>
                <w:bCs/>
                <w:sz w:val="22"/>
                <w:szCs w:val="22"/>
              </w:rPr>
              <w:t>Único Reglamentario del Sector de Inclusión Social y Reconciliación</w:t>
            </w:r>
            <w:r>
              <w:rPr>
                <w:rFonts w:cs="Arial"/>
                <w:bCs/>
                <w:sz w:val="22"/>
                <w:szCs w:val="22"/>
              </w:rPr>
              <w:t>, adicionado por el Decreto 1111 de 2020, estableció entre las funciones de la Mesa de Equidad para el cumplimiento de sus objetivos, “</w:t>
            </w:r>
            <w:r w:rsidRPr="008F5302">
              <w:rPr>
                <w:rFonts w:cs="Arial"/>
                <w:bCs/>
                <w:i/>
                <w:sz w:val="22"/>
                <w:szCs w:val="22"/>
                <w:lang w:val="es-CO"/>
              </w:rPr>
              <w:t>1. Establecer lineamientos para la focalización territorial y/o poblacional de los programas de las entidades del Gobierno nacional orientados a la reducción de la pobreza, de acuerdo con los criterios de entrada de cada programa.  2. Establecer y aprobar directrices para la estructuración, modificación o rediseño de las estrategias nacionales, de acuerdo con el análisis de pertinencia y focaliza</w:t>
            </w:r>
            <w:r w:rsidRPr="008F5302">
              <w:rPr>
                <w:rFonts w:cs="Arial"/>
                <w:bCs/>
                <w:i/>
                <w:sz w:val="22"/>
                <w:szCs w:val="22"/>
                <w:lang w:val="es-CO"/>
              </w:rPr>
              <w:softHyphen/>
              <w:t>ción realizado por la Secretaría Técnica de la Mesa de Equidad, para la reducción de la pobreza y la sostenibilidad en la generación de ingresos de la población vulnerable o emergente. (…)</w:t>
            </w:r>
            <w:r>
              <w:rPr>
                <w:rFonts w:cs="Arial"/>
                <w:bCs/>
                <w:sz w:val="22"/>
                <w:szCs w:val="22"/>
                <w:lang w:val="es-CO"/>
              </w:rPr>
              <w:t>”</w:t>
            </w:r>
            <w:r w:rsidRPr="00C85E12">
              <w:rPr>
                <w:rFonts w:cs="Arial"/>
                <w:bCs/>
                <w:sz w:val="22"/>
                <w:szCs w:val="22"/>
                <w:lang w:val="es-CO"/>
              </w:rPr>
              <w:t> </w:t>
            </w:r>
          </w:p>
          <w:p w14:paraId="0092B5AF" w14:textId="77777777" w:rsidR="00D16486" w:rsidRDefault="00D16486" w:rsidP="00D16486">
            <w:pPr>
              <w:jc w:val="both"/>
              <w:outlineLvl w:val="0"/>
              <w:rPr>
                <w:rFonts w:cs="Arial"/>
                <w:bCs/>
                <w:sz w:val="22"/>
                <w:szCs w:val="22"/>
                <w:lang w:val="es-CO"/>
              </w:rPr>
            </w:pPr>
          </w:p>
          <w:p w14:paraId="0EF825F7" w14:textId="77777777" w:rsidR="00D16486" w:rsidRPr="007F2A17" w:rsidRDefault="00D16486" w:rsidP="00D16486">
            <w:pPr>
              <w:pStyle w:val="Prrafodelista"/>
              <w:numPr>
                <w:ilvl w:val="1"/>
                <w:numId w:val="11"/>
              </w:numPr>
              <w:jc w:val="both"/>
              <w:rPr>
                <w:rFonts w:cs="Arial"/>
                <w:b/>
                <w:sz w:val="22"/>
                <w:szCs w:val="22"/>
                <w:lang w:val="es-CO"/>
              </w:rPr>
            </w:pPr>
            <w:r w:rsidRPr="007F2A17">
              <w:rPr>
                <w:rFonts w:cs="Arial"/>
                <w:b/>
                <w:sz w:val="22"/>
                <w:szCs w:val="22"/>
                <w:lang w:val="es-CO"/>
              </w:rPr>
              <w:t xml:space="preserve">Necesidad y </w:t>
            </w:r>
            <w:r>
              <w:rPr>
                <w:rFonts w:cs="Arial"/>
                <w:b/>
                <w:sz w:val="22"/>
                <w:szCs w:val="22"/>
                <w:lang w:val="es-CO"/>
              </w:rPr>
              <w:t>finalidad</w:t>
            </w:r>
            <w:r w:rsidRPr="007F2A17">
              <w:rPr>
                <w:rFonts w:cs="Arial"/>
                <w:b/>
                <w:sz w:val="22"/>
                <w:szCs w:val="22"/>
                <w:lang w:val="es-CO"/>
              </w:rPr>
              <w:t>.</w:t>
            </w:r>
          </w:p>
          <w:p w14:paraId="60D5344E" w14:textId="77777777" w:rsidR="00D16486" w:rsidRPr="008F5302" w:rsidRDefault="00D16486" w:rsidP="00D16486">
            <w:pPr>
              <w:jc w:val="both"/>
              <w:outlineLvl w:val="0"/>
              <w:rPr>
                <w:rFonts w:cs="Arial"/>
                <w:bCs/>
                <w:sz w:val="22"/>
                <w:szCs w:val="22"/>
                <w:lang w:val="es-CO"/>
              </w:rPr>
            </w:pPr>
          </w:p>
          <w:p w14:paraId="36129599" w14:textId="70FA67DD" w:rsidR="00D16486" w:rsidRDefault="00D16486" w:rsidP="00D16486">
            <w:pPr>
              <w:jc w:val="both"/>
              <w:outlineLvl w:val="0"/>
              <w:rPr>
                <w:rFonts w:cs="Arial"/>
                <w:bCs/>
                <w:sz w:val="22"/>
                <w:szCs w:val="22"/>
              </w:rPr>
            </w:pPr>
            <w:r w:rsidRPr="00E2015F">
              <w:rPr>
                <w:rFonts w:cs="Arial"/>
                <w:sz w:val="22"/>
                <w:szCs w:val="22"/>
                <w:lang w:val="es-CO"/>
              </w:rPr>
              <w:t xml:space="preserve">En consideración de los impactos económicos descritos, </w:t>
            </w:r>
            <w:r w:rsidRPr="001C29B4">
              <w:rPr>
                <w:rFonts w:cs="Arial"/>
                <w:bCs/>
                <w:sz w:val="22"/>
                <w:szCs w:val="22"/>
                <w:lang w:val="es-CO"/>
              </w:rPr>
              <w:t xml:space="preserve">se considera necesario modificar transitoriamente </w:t>
            </w:r>
            <w:r w:rsidRPr="001B3578">
              <w:rPr>
                <w:rFonts w:cs="Arial"/>
                <w:sz w:val="22"/>
                <w:szCs w:val="22"/>
                <w:lang w:val="es-CO"/>
              </w:rPr>
              <w:t xml:space="preserve">y solo para el </w:t>
            </w:r>
            <w:r w:rsidRPr="001B3578">
              <w:rPr>
                <w:rFonts w:cs="Arial"/>
                <w:sz w:val="22"/>
                <w:szCs w:val="22"/>
                <w:lang w:val="es-ES_tradnl"/>
              </w:rPr>
              <w:t>ciclo 6 del año 2022</w:t>
            </w:r>
            <w:r w:rsidRPr="001B3578">
              <w:rPr>
                <w:rFonts w:cs="Arial"/>
                <w:sz w:val="22"/>
                <w:szCs w:val="22"/>
                <w:lang w:val="es-CO"/>
              </w:rPr>
              <w:t xml:space="preserve">, el monto de la transferencia monetaria condicionada del programa </w:t>
            </w:r>
            <w:r>
              <w:rPr>
                <w:rFonts w:cs="Arial"/>
                <w:sz w:val="22"/>
                <w:szCs w:val="22"/>
                <w:lang w:val="es-CO"/>
              </w:rPr>
              <w:t xml:space="preserve">Familias en Acción, buscando con ello, </w:t>
            </w:r>
            <w:r w:rsidRPr="001C29B4">
              <w:rPr>
                <w:rFonts w:cs="Arial"/>
                <w:sz w:val="22"/>
                <w:szCs w:val="22"/>
                <w:lang w:val="es-CO"/>
              </w:rPr>
              <w:t xml:space="preserve">contribuir a las metas de reducción de la pobreza planteadas por los </w:t>
            </w:r>
            <w:r w:rsidRPr="001C29B4">
              <w:rPr>
                <w:rFonts w:cs="Arial"/>
                <w:bCs/>
                <w:sz w:val="22"/>
                <w:szCs w:val="22"/>
                <w:lang w:val="es-CO"/>
              </w:rPr>
              <w:t xml:space="preserve">Objetivos de Desarrollo Sostenible </w:t>
            </w:r>
            <w:r>
              <w:rPr>
                <w:rFonts w:cs="Arial"/>
                <w:bCs/>
                <w:sz w:val="22"/>
                <w:szCs w:val="22"/>
                <w:lang w:val="es-CO"/>
              </w:rPr>
              <w:t>y el</w:t>
            </w:r>
            <w:r w:rsidRPr="001C29B4">
              <w:rPr>
                <w:rFonts w:cs="Arial"/>
                <w:bCs/>
                <w:sz w:val="22"/>
                <w:szCs w:val="22"/>
                <w:lang w:val="es-CO"/>
              </w:rPr>
              <w:t xml:space="preserve"> Plan de Desarrollo, </w:t>
            </w:r>
            <w:r>
              <w:rPr>
                <w:rFonts w:cs="Arial"/>
                <w:bCs/>
                <w:sz w:val="22"/>
                <w:szCs w:val="22"/>
                <w:lang w:val="es-CO"/>
              </w:rPr>
              <w:t xml:space="preserve">así como </w:t>
            </w:r>
            <w:r w:rsidRPr="001C29B4">
              <w:rPr>
                <w:rFonts w:cs="Arial"/>
                <w:bCs/>
                <w:sz w:val="22"/>
                <w:szCs w:val="22"/>
                <w:lang w:val="es-CO"/>
              </w:rPr>
              <w:t xml:space="preserve">la </w:t>
            </w:r>
            <w:r w:rsidRPr="001C29B4">
              <w:rPr>
                <w:rFonts w:cs="Arial"/>
                <w:bCs/>
                <w:sz w:val="22"/>
                <w:szCs w:val="22"/>
              </w:rPr>
              <w:t xml:space="preserve">materialización de </w:t>
            </w:r>
            <w:r>
              <w:rPr>
                <w:rFonts w:cs="Arial"/>
                <w:bCs/>
                <w:sz w:val="22"/>
                <w:szCs w:val="22"/>
              </w:rPr>
              <w:t xml:space="preserve">los </w:t>
            </w:r>
            <w:r w:rsidRPr="001C29B4">
              <w:rPr>
                <w:rFonts w:cs="Arial"/>
                <w:bCs/>
                <w:sz w:val="22"/>
                <w:szCs w:val="22"/>
              </w:rPr>
              <w:t>mandatos constitucionales expresos</w:t>
            </w:r>
            <w:r>
              <w:rPr>
                <w:rFonts w:cs="Arial"/>
                <w:bCs/>
                <w:sz w:val="22"/>
                <w:szCs w:val="22"/>
              </w:rPr>
              <w:t>,</w:t>
            </w:r>
            <w:r w:rsidRPr="001C29B4">
              <w:rPr>
                <w:rFonts w:cs="Arial"/>
                <w:bCs/>
                <w:sz w:val="22"/>
                <w:szCs w:val="22"/>
              </w:rPr>
              <w:t xml:space="preserve"> orientados a garantizar la igualdad material, en el marco de la justicia distributiva, así como el derecho al mínimo vital</w:t>
            </w:r>
            <w:r>
              <w:rPr>
                <w:rFonts w:cs="Arial"/>
                <w:bCs/>
                <w:sz w:val="22"/>
                <w:szCs w:val="22"/>
              </w:rPr>
              <w:t>.</w:t>
            </w:r>
          </w:p>
          <w:p w14:paraId="0201DDDC" w14:textId="77777777" w:rsidR="00D16486" w:rsidRDefault="00D16486" w:rsidP="00D16486">
            <w:pPr>
              <w:jc w:val="both"/>
              <w:outlineLvl w:val="0"/>
              <w:rPr>
                <w:rFonts w:cs="Arial"/>
                <w:bCs/>
                <w:sz w:val="22"/>
                <w:szCs w:val="22"/>
              </w:rPr>
            </w:pPr>
          </w:p>
          <w:p w14:paraId="1CA8FB25" w14:textId="77777777" w:rsidR="00D16486" w:rsidRDefault="00D16486" w:rsidP="00D16486">
            <w:pPr>
              <w:jc w:val="both"/>
              <w:rPr>
                <w:rFonts w:cs="Arial"/>
                <w:sz w:val="22"/>
                <w:szCs w:val="22"/>
                <w:lang w:val="es-CO"/>
              </w:rPr>
            </w:pPr>
            <w:r>
              <w:rPr>
                <w:rFonts w:cs="Arial"/>
                <w:bCs/>
                <w:sz w:val="22"/>
                <w:szCs w:val="22"/>
              </w:rPr>
              <w:t xml:space="preserve">Esta propuesta fue sometida a consideración de </w:t>
            </w:r>
            <w:r>
              <w:rPr>
                <w:rFonts w:cs="Arial"/>
                <w:sz w:val="22"/>
                <w:szCs w:val="22"/>
              </w:rPr>
              <w:t xml:space="preserve">la Mesa de Equidad </w:t>
            </w:r>
            <w:r>
              <w:rPr>
                <w:rFonts w:cs="Arial"/>
                <w:bCs/>
                <w:sz w:val="22"/>
                <w:szCs w:val="22"/>
              </w:rPr>
              <w:t xml:space="preserve">en sesión del 8 de noviembre de 2022,   instancia que </w:t>
            </w:r>
            <w:r w:rsidRPr="00116119">
              <w:rPr>
                <w:rFonts w:cs="Arial"/>
                <w:sz w:val="22"/>
                <w:szCs w:val="22"/>
                <w:lang w:val="es-CO"/>
              </w:rPr>
              <w:t>de</w:t>
            </w:r>
            <w:r>
              <w:rPr>
                <w:rFonts w:cs="Arial"/>
                <w:sz w:val="22"/>
                <w:szCs w:val="22"/>
                <w:lang w:val="es-CO"/>
              </w:rPr>
              <w:t>terminó “</w:t>
            </w:r>
            <w:r w:rsidRPr="008F5302">
              <w:rPr>
                <w:rFonts w:cs="Arial"/>
                <w:i/>
                <w:sz w:val="22"/>
                <w:szCs w:val="22"/>
                <w:lang w:val="es-CO"/>
              </w:rPr>
              <w:t>avalar la modificación del monto del incentivo de salud en el Programa Familias en Acción por una única vez para las familias que hagan parte del programa y que cumplan con los criterios establecidos en el ciclo regular No. 6 de 2022, quienes recibirían la suma de $500.000</w:t>
            </w:r>
            <w:r>
              <w:rPr>
                <w:rFonts w:cs="Arial"/>
                <w:i/>
                <w:sz w:val="22"/>
                <w:szCs w:val="22"/>
                <w:lang w:val="es-CO"/>
              </w:rPr>
              <w:t xml:space="preserve">” </w:t>
            </w:r>
            <w:r w:rsidRPr="008F5302">
              <w:rPr>
                <w:rFonts w:cs="Arial"/>
                <w:sz w:val="22"/>
                <w:szCs w:val="22"/>
                <w:lang w:val="es-CO"/>
              </w:rPr>
              <w:t>considerándolo como</w:t>
            </w:r>
            <w:r>
              <w:rPr>
                <w:rFonts w:cs="Arial"/>
                <w:i/>
                <w:sz w:val="22"/>
                <w:szCs w:val="22"/>
                <w:lang w:val="es-CO"/>
              </w:rPr>
              <w:t xml:space="preserve"> “(…) </w:t>
            </w:r>
            <w:r w:rsidRPr="004E6AFB">
              <w:rPr>
                <w:rFonts w:cs="Arial"/>
                <w:i/>
                <w:sz w:val="22"/>
                <w:szCs w:val="22"/>
                <w:lang w:val="es-CO"/>
              </w:rPr>
              <w:t>un paso fundamental en el camino para reivindicar la lucha de la mujer, y específicamente de la mujer joven cabeza de hogar con hijos menores, en contra del</w:t>
            </w:r>
            <w:r>
              <w:rPr>
                <w:rFonts w:cs="Arial"/>
                <w:i/>
                <w:sz w:val="22"/>
                <w:szCs w:val="22"/>
                <w:lang w:val="es-CO"/>
              </w:rPr>
              <w:t xml:space="preserve"> </w:t>
            </w:r>
            <w:r w:rsidRPr="004E6AFB">
              <w:rPr>
                <w:rFonts w:cs="Arial"/>
                <w:i/>
                <w:sz w:val="22"/>
                <w:szCs w:val="22"/>
                <w:lang w:val="es-CO"/>
              </w:rPr>
              <w:t>hambre y la pobreza</w:t>
            </w:r>
            <w:r>
              <w:rPr>
                <w:rFonts w:cs="Arial"/>
                <w:sz w:val="22"/>
                <w:szCs w:val="22"/>
                <w:lang w:val="es-CO"/>
              </w:rPr>
              <w:t>”</w:t>
            </w:r>
            <w:r w:rsidRPr="004E6AFB">
              <w:rPr>
                <w:rFonts w:cs="Arial"/>
                <w:sz w:val="22"/>
                <w:szCs w:val="22"/>
                <w:lang w:val="es-CO"/>
              </w:rPr>
              <w:t>.</w:t>
            </w:r>
          </w:p>
          <w:p w14:paraId="19B77318" w14:textId="77777777" w:rsidR="00D16486" w:rsidRDefault="00D16486" w:rsidP="00D16486">
            <w:pPr>
              <w:jc w:val="both"/>
              <w:outlineLvl w:val="0"/>
              <w:rPr>
                <w:rFonts w:cs="Arial"/>
                <w:bCs/>
                <w:sz w:val="22"/>
                <w:szCs w:val="22"/>
                <w:lang w:val="es-CO"/>
              </w:rPr>
            </w:pPr>
          </w:p>
          <w:p w14:paraId="2DC71020" w14:textId="78B4FA4A" w:rsidR="00D16486" w:rsidRDefault="00F1201D" w:rsidP="00D16486">
            <w:pPr>
              <w:jc w:val="both"/>
              <w:outlineLvl w:val="0"/>
              <w:rPr>
                <w:rFonts w:cs="Arial"/>
                <w:bCs/>
                <w:sz w:val="22"/>
                <w:szCs w:val="22"/>
                <w:lang w:val="es-CO"/>
              </w:rPr>
            </w:pPr>
            <w:r>
              <w:rPr>
                <w:rFonts w:cs="Arial"/>
                <w:bCs/>
                <w:sz w:val="22"/>
                <w:szCs w:val="22"/>
                <w:lang w:val="es-CO"/>
              </w:rPr>
              <w:t>Con lo anterior se dio cumplimiento también a lo dispuesto en el artículo 6 de la Ley 1532 de 2012 en tanto que se contó con la aprobación del Departamento Nacional de Planeación – DNP para el ajuste del monto de la transferencia.</w:t>
            </w:r>
          </w:p>
          <w:p w14:paraId="67D4C530" w14:textId="5CEE9B8E" w:rsidR="00AD3670" w:rsidRPr="005D151C" w:rsidRDefault="00AD3670" w:rsidP="00865FAC">
            <w:pPr>
              <w:jc w:val="both"/>
              <w:rPr>
                <w:rFonts w:cs="Arial"/>
                <w:color w:val="000000"/>
                <w:sz w:val="22"/>
                <w:szCs w:val="22"/>
              </w:rPr>
            </w:pPr>
          </w:p>
        </w:tc>
      </w:tr>
      <w:tr w:rsidR="00DF60FD" w:rsidRPr="009F7CED" w14:paraId="016A6499"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1BA9EE2" w14:textId="391A12F8" w:rsidR="00DF60FD" w:rsidRPr="00C332EA" w:rsidRDefault="00407101" w:rsidP="00C332EA">
            <w:pPr>
              <w:pStyle w:val="Prrafodelista"/>
              <w:numPr>
                <w:ilvl w:val="0"/>
                <w:numId w:val="9"/>
              </w:numPr>
              <w:rPr>
                <w:rFonts w:cs="Arial"/>
                <w:b/>
                <w:color w:val="000000"/>
                <w:sz w:val="22"/>
                <w:szCs w:val="22"/>
              </w:rPr>
            </w:pPr>
            <w:r w:rsidRPr="00C332EA">
              <w:rPr>
                <w:rFonts w:cs="Arial"/>
                <w:b/>
                <w:color w:val="000000"/>
                <w:sz w:val="22"/>
                <w:szCs w:val="22"/>
              </w:rPr>
              <w:lastRenderedPageBreak/>
              <w:t>ÁMBITO</w:t>
            </w:r>
            <w:r w:rsidR="00DF60FD" w:rsidRPr="00C332EA">
              <w:rPr>
                <w:rFonts w:cs="Arial"/>
                <w:b/>
                <w:color w:val="000000"/>
                <w:sz w:val="22"/>
                <w:szCs w:val="22"/>
              </w:rPr>
              <w:t xml:space="preserve"> DE APLICACIÓN Y SUJETO</w:t>
            </w:r>
            <w:r w:rsidR="00795C6B" w:rsidRPr="00C332EA">
              <w:rPr>
                <w:rFonts w:cs="Arial"/>
                <w:b/>
                <w:color w:val="000000"/>
                <w:sz w:val="22"/>
                <w:szCs w:val="22"/>
              </w:rPr>
              <w:t>S</w:t>
            </w:r>
            <w:r w:rsidR="00DF60FD" w:rsidRPr="00C332EA">
              <w:rPr>
                <w:rFonts w:cs="Arial"/>
                <w:b/>
                <w:color w:val="000000"/>
                <w:sz w:val="22"/>
                <w:szCs w:val="22"/>
              </w:rPr>
              <w:t xml:space="preserve"> A QUIEN</w:t>
            </w:r>
            <w:r w:rsidR="00795C6B" w:rsidRPr="00C332EA">
              <w:rPr>
                <w:rFonts w:cs="Arial"/>
                <w:b/>
                <w:color w:val="000000"/>
                <w:sz w:val="22"/>
                <w:szCs w:val="22"/>
              </w:rPr>
              <w:t>ES</w:t>
            </w:r>
            <w:r w:rsidR="00DF60FD" w:rsidRPr="00C332EA">
              <w:rPr>
                <w:rFonts w:cs="Arial"/>
                <w:b/>
                <w:color w:val="000000"/>
                <w:sz w:val="22"/>
                <w:szCs w:val="22"/>
              </w:rPr>
              <w:t xml:space="preserve"> VA DIRIGIDO</w:t>
            </w:r>
          </w:p>
          <w:p w14:paraId="6F6DF16E" w14:textId="77777777" w:rsidR="00795C6B" w:rsidRPr="00795C6B" w:rsidRDefault="00696582" w:rsidP="0075705D">
            <w:pPr>
              <w:pStyle w:val="Listavistosa-nfasis11"/>
              <w:spacing w:line="240" w:lineRule="auto"/>
              <w:ind w:left="494"/>
              <w:jc w:val="both"/>
              <w:rPr>
                <w:rFonts w:ascii="Arial" w:hAnsi="Arial" w:cs="Arial"/>
                <w:i/>
                <w:color w:val="808080"/>
                <w:sz w:val="18"/>
              </w:rPr>
            </w:pPr>
            <w:r w:rsidRPr="00795C6B">
              <w:rPr>
                <w:rFonts w:ascii="Arial" w:hAnsi="Arial" w:cs="Arial"/>
                <w:i/>
                <w:color w:val="808080"/>
                <w:sz w:val="18"/>
              </w:rPr>
              <w:t xml:space="preserve"> </w:t>
            </w:r>
            <w:r w:rsidR="00795C6B" w:rsidRPr="00795C6B">
              <w:rPr>
                <w:rFonts w:ascii="Arial" w:hAnsi="Arial" w:cs="Arial"/>
                <w:i/>
                <w:color w:val="808080"/>
                <w:sz w:val="18"/>
              </w:rPr>
              <w:t>(Por favor indique el ámbito de aplicación o sujetos obligados de la norma)</w:t>
            </w:r>
          </w:p>
          <w:p w14:paraId="3D397BC4" w14:textId="3CC00C52" w:rsidR="00910611" w:rsidRPr="00375E55" w:rsidRDefault="00910611" w:rsidP="00375E55">
            <w:pPr>
              <w:pStyle w:val="Ttulo"/>
              <w:jc w:val="both"/>
              <w:rPr>
                <w:b w:val="0"/>
                <w:bCs w:val="0"/>
                <w:sz w:val="22"/>
                <w:szCs w:val="22"/>
                <w:lang w:val="es-CO"/>
              </w:rPr>
            </w:pPr>
            <w:r w:rsidRPr="00375E55">
              <w:rPr>
                <w:b w:val="0"/>
                <w:bCs w:val="0"/>
                <w:color w:val="000000"/>
                <w:sz w:val="22"/>
                <w:szCs w:val="22"/>
                <w:lang w:val="es-CO"/>
              </w:rPr>
              <w:lastRenderedPageBreak/>
              <w:t>La presente resolución tiene como propósito</w:t>
            </w:r>
            <w:r w:rsidR="00D03C9C" w:rsidRPr="00375E55">
              <w:rPr>
                <w:b w:val="0"/>
                <w:bCs w:val="0"/>
                <w:color w:val="000000"/>
                <w:sz w:val="22"/>
                <w:szCs w:val="22"/>
                <w:lang w:val="es-CO"/>
              </w:rPr>
              <w:t xml:space="preserve"> </w:t>
            </w:r>
            <w:r w:rsidR="00375E55" w:rsidRPr="00375E55">
              <w:rPr>
                <w:b w:val="0"/>
                <w:bCs w:val="0"/>
                <w:sz w:val="22"/>
                <w:szCs w:val="22"/>
              </w:rPr>
              <w:t xml:space="preserve">incrementar por única vez el monto del incentivo en salud para </w:t>
            </w:r>
            <w:r w:rsidR="00865FAC">
              <w:rPr>
                <w:b w:val="0"/>
                <w:bCs w:val="0"/>
                <w:sz w:val="22"/>
                <w:szCs w:val="22"/>
              </w:rPr>
              <w:t>las familias</w:t>
            </w:r>
            <w:r w:rsidR="00375E55" w:rsidRPr="00375E55">
              <w:rPr>
                <w:b w:val="0"/>
                <w:bCs w:val="0"/>
                <w:sz w:val="22"/>
                <w:szCs w:val="22"/>
              </w:rPr>
              <w:t xml:space="preserve"> que culminen exitosamente la verificación del pago ciclo 6 del año 2022 del Programa Familias en Acción</w:t>
            </w:r>
            <w:r w:rsidR="00407101" w:rsidRPr="00375E55">
              <w:rPr>
                <w:b w:val="0"/>
                <w:bCs w:val="0"/>
                <w:color w:val="000000"/>
                <w:sz w:val="22"/>
                <w:szCs w:val="22"/>
                <w:lang w:val="es-CO"/>
              </w:rPr>
              <w:t>, con lo cual se busca dar un</w:t>
            </w:r>
            <w:r w:rsidR="008542C2" w:rsidRPr="00375E55">
              <w:rPr>
                <w:b w:val="0"/>
                <w:bCs w:val="0"/>
                <w:color w:val="000000"/>
                <w:sz w:val="22"/>
                <w:szCs w:val="22"/>
                <w:lang w:val="es-CO"/>
              </w:rPr>
              <w:t xml:space="preserve">a mayor protección a los hogares en pobreza extrema del programa. </w:t>
            </w:r>
          </w:p>
          <w:p w14:paraId="46221C49" w14:textId="77777777" w:rsidR="00407101" w:rsidRDefault="00407101" w:rsidP="00910611">
            <w:pPr>
              <w:jc w:val="both"/>
              <w:rPr>
                <w:rFonts w:cs="Arial"/>
                <w:color w:val="000000"/>
                <w:sz w:val="22"/>
                <w:szCs w:val="22"/>
                <w:lang w:val="es-CO"/>
              </w:rPr>
            </w:pPr>
          </w:p>
          <w:p w14:paraId="2CEF2EC3" w14:textId="6A71D366" w:rsidR="00C360EA" w:rsidRDefault="00910611" w:rsidP="00D16486">
            <w:pPr>
              <w:jc w:val="both"/>
              <w:rPr>
                <w:rFonts w:cs="Arial"/>
                <w:iCs/>
                <w:color w:val="000000"/>
                <w:sz w:val="22"/>
                <w:szCs w:val="22"/>
              </w:rPr>
            </w:pPr>
            <w:r>
              <w:rPr>
                <w:rFonts w:cs="Arial"/>
                <w:color w:val="000000"/>
                <w:sz w:val="22"/>
                <w:szCs w:val="22"/>
                <w:lang w:val="es-CO"/>
              </w:rPr>
              <w:t>E</w:t>
            </w:r>
            <w:r w:rsidRPr="00910611">
              <w:rPr>
                <w:rFonts w:cs="Arial"/>
                <w:color w:val="000000"/>
                <w:sz w:val="22"/>
                <w:szCs w:val="22"/>
                <w:lang w:val="es-CO"/>
              </w:rPr>
              <w:t xml:space="preserve">n consecuencia, la resolución va dirigida a </w:t>
            </w:r>
            <w:r w:rsidR="00407101">
              <w:rPr>
                <w:rFonts w:cs="Arial"/>
                <w:color w:val="000000"/>
                <w:sz w:val="22"/>
                <w:szCs w:val="22"/>
                <w:lang w:val="es-CO"/>
              </w:rPr>
              <w:t>todos los actores del orden público y privado que intervienen en la operación del Programa</w:t>
            </w:r>
            <w:r w:rsidR="00375E55">
              <w:rPr>
                <w:rFonts w:cs="Arial"/>
                <w:color w:val="000000"/>
                <w:sz w:val="22"/>
                <w:szCs w:val="22"/>
                <w:lang w:val="es-CO"/>
              </w:rPr>
              <w:t xml:space="preserve"> Familias en Acción</w:t>
            </w:r>
            <w:r w:rsidR="00407101">
              <w:rPr>
                <w:rFonts w:cs="Arial"/>
                <w:color w:val="000000"/>
                <w:sz w:val="22"/>
                <w:szCs w:val="22"/>
                <w:lang w:val="es-CO"/>
              </w:rPr>
              <w:t>,</w:t>
            </w:r>
            <w:r w:rsidR="00C360EA">
              <w:rPr>
                <w:rFonts w:cs="Arial"/>
                <w:color w:val="000000"/>
                <w:sz w:val="22"/>
                <w:szCs w:val="22"/>
                <w:lang w:val="es-CO"/>
              </w:rPr>
              <w:t xml:space="preserve"> y que hacen parte activa de los ciclos de pago que se programan por el Programa </w:t>
            </w:r>
            <w:r w:rsidR="00375E55">
              <w:rPr>
                <w:rFonts w:cs="Arial"/>
                <w:color w:val="000000"/>
                <w:sz w:val="22"/>
                <w:szCs w:val="22"/>
                <w:lang w:val="es-CO"/>
              </w:rPr>
              <w:t>Familias en Acción</w:t>
            </w:r>
            <w:r w:rsidR="00D16486">
              <w:rPr>
                <w:rFonts w:cs="Arial"/>
                <w:color w:val="000000"/>
                <w:sz w:val="22"/>
                <w:szCs w:val="22"/>
                <w:lang w:val="es-CO"/>
              </w:rPr>
              <w:t xml:space="preserve">; </w:t>
            </w:r>
            <w:r w:rsidR="00D16486" w:rsidRPr="00375E55">
              <w:rPr>
                <w:color w:val="000000"/>
                <w:sz w:val="22"/>
                <w:szCs w:val="22"/>
                <w:lang w:val="es-CO"/>
              </w:rPr>
              <w:t>a los potenciales hogares beneficiarios del programa Familias en Acción, que se encuentren activos en el programa</w:t>
            </w:r>
            <w:r w:rsidR="00D16486">
              <w:rPr>
                <w:color w:val="000000"/>
                <w:sz w:val="22"/>
                <w:szCs w:val="22"/>
                <w:lang w:val="es-CO"/>
              </w:rPr>
              <w:t xml:space="preserve">; así como a los </w:t>
            </w:r>
            <w:r w:rsidR="00D16486" w:rsidRPr="00E2015F">
              <w:rPr>
                <w:rFonts w:cs="Arial"/>
                <w:color w:val="000000"/>
                <w:sz w:val="22"/>
                <w:szCs w:val="22"/>
              </w:rPr>
              <w:t>órganos de control como insumo para su gestión</w:t>
            </w:r>
            <w:r w:rsidR="00D16486">
              <w:rPr>
                <w:rFonts w:cs="Arial"/>
                <w:color w:val="000000"/>
                <w:sz w:val="22"/>
                <w:szCs w:val="22"/>
              </w:rPr>
              <w:t xml:space="preserve"> y a </w:t>
            </w:r>
            <w:r w:rsidR="00D16486" w:rsidRPr="006C2A3C">
              <w:rPr>
                <w:rFonts w:cs="Arial"/>
                <w:color w:val="000000"/>
                <w:sz w:val="22"/>
                <w:szCs w:val="22"/>
                <w:lang w:val="es-CO"/>
              </w:rPr>
              <w:t>la ciudadanía en general</w:t>
            </w:r>
            <w:r w:rsidR="00D16486">
              <w:rPr>
                <w:rFonts w:cs="Arial"/>
                <w:color w:val="000000"/>
                <w:sz w:val="22"/>
                <w:szCs w:val="22"/>
                <w:lang w:val="es-CO"/>
              </w:rPr>
              <w:t>.</w:t>
            </w:r>
          </w:p>
          <w:p w14:paraId="60BE5908" w14:textId="0811C640" w:rsidR="00D16486" w:rsidRPr="009F7CED" w:rsidRDefault="00D16486">
            <w:pPr>
              <w:jc w:val="both"/>
              <w:rPr>
                <w:rFonts w:cs="Arial"/>
                <w:iCs/>
                <w:color w:val="000000"/>
                <w:sz w:val="22"/>
                <w:szCs w:val="22"/>
              </w:rPr>
            </w:pPr>
          </w:p>
        </w:tc>
      </w:tr>
      <w:tr w:rsidR="00825EB0" w:rsidRPr="009F7CED" w14:paraId="281B3FDF"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0BDCA08" w14:textId="1D008144" w:rsidR="00825EB0" w:rsidRPr="00825EB0" w:rsidRDefault="00825EB0" w:rsidP="00825EB0">
            <w:pPr>
              <w:pStyle w:val="Prrafodelista"/>
              <w:numPr>
                <w:ilvl w:val="0"/>
                <w:numId w:val="9"/>
              </w:numPr>
              <w:rPr>
                <w:rFonts w:cs="Arial"/>
                <w:b/>
                <w:color w:val="000000"/>
                <w:sz w:val="22"/>
                <w:szCs w:val="22"/>
              </w:rPr>
            </w:pPr>
            <w:r w:rsidRPr="00825EB0">
              <w:rPr>
                <w:rFonts w:cs="Arial"/>
                <w:b/>
                <w:color w:val="000000"/>
                <w:sz w:val="22"/>
                <w:szCs w:val="22"/>
              </w:rPr>
              <w:lastRenderedPageBreak/>
              <w:t>VIABILIDAD JURÍDICA</w:t>
            </w:r>
          </w:p>
          <w:p w14:paraId="3BFC8AEB" w14:textId="77777777" w:rsidR="00825EB0" w:rsidRPr="00084B49" w:rsidRDefault="00825EB0" w:rsidP="00825EB0">
            <w:pPr>
              <w:ind w:left="494" w:hanging="283"/>
              <w:rPr>
                <w:rFonts w:cs="Arial"/>
                <w:i/>
                <w:color w:val="808080"/>
                <w:sz w:val="18"/>
                <w:szCs w:val="22"/>
              </w:rPr>
            </w:pPr>
            <w:r w:rsidRPr="00084B49">
              <w:rPr>
                <w:rFonts w:cs="Arial"/>
                <w:i/>
                <w:color w:val="808080"/>
                <w:sz w:val="18"/>
                <w:szCs w:val="22"/>
              </w:rPr>
              <w:t>(Por favor desarrolle cada uno de los siguientes puntos)</w:t>
            </w:r>
          </w:p>
          <w:p w14:paraId="626A3681" w14:textId="77777777" w:rsidR="00825EB0" w:rsidRPr="00084B49" w:rsidRDefault="00825EB0" w:rsidP="00825EB0">
            <w:pPr>
              <w:ind w:left="494" w:hanging="283"/>
              <w:rPr>
                <w:rFonts w:cs="Arial"/>
                <w:i/>
                <w:color w:val="808080"/>
                <w:sz w:val="22"/>
                <w:szCs w:val="22"/>
              </w:rPr>
            </w:pPr>
          </w:p>
          <w:p w14:paraId="1FB9EA9A" w14:textId="77777777" w:rsidR="00825EB0" w:rsidRDefault="00825EB0" w:rsidP="00825EB0">
            <w:pPr>
              <w:ind w:left="494" w:hanging="283"/>
              <w:jc w:val="both"/>
              <w:rPr>
                <w:rFonts w:cs="Arial"/>
                <w:sz w:val="22"/>
                <w:szCs w:val="22"/>
                <w:lang w:val="es-CO" w:eastAsia="es-CO"/>
              </w:rPr>
            </w:pPr>
            <w:r>
              <w:rPr>
                <w:rFonts w:cs="Arial"/>
                <w:sz w:val="22"/>
                <w:szCs w:val="22"/>
                <w:lang w:val="es-CO" w:eastAsia="es-CO"/>
              </w:rPr>
              <w:t>3.1 Análisis de las normas que otorgan la competencia para la expedición del proyecto normativo</w:t>
            </w:r>
          </w:p>
          <w:p w14:paraId="3A69D376" w14:textId="7D5F5293" w:rsidR="00825EB0" w:rsidRDefault="00825EB0" w:rsidP="00825EB0">
            <w:pPr>
              <w:ind w:left="494" w:hanging="283"/>
              <w:jc w:val="both"/>
              <w:rPr>
                <w:rFonts w:cs="Arial"/>
                <w:sz w:val="22"/>
                <w:szCs w:val="22"/>
                <w:lang w:val="es-CO" w:eastAsia="es-CO"/>
              </w:rPr>
            </w:pPr>
          </w:p>
          <w:p w14:paraId="4CEFC0BF" w14:textId="24C2363B" w:rsidR="00C273E7" w:rsidRDefault="00C273E7" w:rsidP="00825EB0">
            <w:pPr>
              <w:ind w:left="494" w:hanging="283"/>
              <w:jc w:val="both"/>
              <w:rPr>
                <w:rFonts w:cs="Arial"/>
                <w:sz w:val="22"/>
                <w:szCs w:val="22"/>
                <w:lang w:val="es-CO" w:eastAsia="es-CO"/>
              </w:rPr>
            </w:pPr>
          </w:p>
          <w:p w14:paraId="7326EC19" w14:textId="77777777" w:rsidR="00C273E7" w:rsidRDefault="00C273E7" w:rsidP="00C273E7">
            <w:pPr>
              <w:pStyle w:val="Prrafodelista"/>
              <w:numPr>
                <w:ilvl w:val="0"/>
                <w:numId w:val="12"/>
              </w:numPr>
              <w:jc w:val="both"/>
              <w:rPr>
                <w:rFonts w:cs="Arial"/>
                <w:b/>
                <w:bCs/>
                <w:sz w:val="22"/>
                <w:szCs w:val="22"/>
                <w:lang w:val="es-CO" w:eastAsia="es-CO"/>
              </w:rPr>
            </w:pPr>
            <w:r>
              <w:rPr>
                <w:rFonts w:cs="Arial"/>
                <w:b/>
                <w:bCs/>
                <w:sz w:val="22"/>
                <w:szCs w:val="22"/>
                <w:lang w:val="es-CO" w:eastAsia="es-CO"/>
              </w:rPr>
              <w:t>Ley 489 de 1998</w:t>
            </w:r>
          </w:p>
          <w:p w14:paraId="373C713F" w14:textId="77777777" w:rsidR="00C273E7" w:rsidRDefault="00C273E7" w:rsidP="00C273E7">
            <w:pPr>
              <w:ind w:left="852"/>
              <w:jc w:val="both"/>
              <w:rPr>
                <w:rFonts w:cs="Arial"/>
                <w:sz w:val="22"/>
                <w:szCs w:val="22"/>
                <w:lang w:val="es-CO" w:eastAsia="es-CO"/>
              </w:rPr>
            </w:pPr>
            <w:r>
              <w:rPr>
                <w:rFonts w:cs="Arial"/>
                <w:sz w:val="22"/>
                <w:szCs w:val="22"/>
                <w:lang w:val="es-CO" w:eastAsia="es-CO"/>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24D14299" w14:textId="77777777" w:rsidR="00C273E7" w:rsidRDefault="00C273E7" w:rsidP="00C273E7">
            <w:pPr>
              <w:pStyle w:val="Prrafodelista"/>
              <w:ind w:left="931"/>
              <w:jc w:val="both"/>
              <w:rPr>
                <w:rFonts w:cs="Arial"/>
                <w:sz w:val="22"/>
                <w:szCs w:val="22"/>
                <w:lang w:val="es-CO" w:eastAsia="es-CO"/>
              </w:rPr>
            </w:pPr>
          </w:p>
          <w:p w14:paraId="0AF4B0B7" w14:textId="77777777" w:rsidR="00C273E7" w:rsidRDefault="00C273E7" w:rsidP="00C273E7">
            <w:pPr>
              <w:pStyle w:val="Prrafodelista"/>
              <w:ind w:left="1416"/>
              <w:jc w:val="both"/>
              <w:rPr>
                <w:rFonts w:cs="Arial"/>
                <w:sz w:val="22"/>
                <w:szCs w:val="22"/>
                <w:lang w:val="es-CO" w:eastAsia="es-CO"/>
              </w:rPr>
            </w:pPr>
            <w:r>
              <w:rPr>
                <w:rFonts w:cs="Arial"/>
                <w:b/>
                <w:bCs/>
                <w:sz w:val="22"/>
                <w:szCs w:val="22"/>
                <w:lang w:val="es-CO" w:eastAsia="es-CO"/>
              </w:rPr>
              <w:t xml:space="preserve">“Artículo 59. </w:t>
            </w:r>
            <w:r>
              <w:rPr>
                <w:rFonts w:cs="Arial"/>
                <w:i/>
                <w:iCs/>
                <w:sz w:val="22"/>
                <w:szCs w:val="22"/>
                <w:lang w:val="es-CO" w:eastAsia="es-CO"/>
              </w:rPr>
              <w:t>Funciones. </w:t>
            </w:r>
            <w:r>
              <w:rPr>
                <w:rFonts w:cs="Arial"/>
                <w:sz w:val="22"/>
                <w:szCs w:val="22"/>
                <w:lang w:val="es-CO" w:eastAsia="es-CO"/>
              </w:rPr>
              <w:t>Corresponde a los ministerios y departamentos administrativos, sin perjuicio de lo dispuesto en sus actos de creación o en leyes especiales: </w:t>
            </w:r>
          </w:p>
          <w:p w14:paraId="682C1ABE"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7F0AE90D"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1. Preparar los proyectos de ley relacionados con su ramo. </w:t>
            </w:r>
          </w:p>
          <w:p w14:paraId="609B857E"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495D10A9"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2. Preparar los proyectos de decretos y resoluciones ejecutivas que deban dictarse en ejercicio de las atribuciones que corresponden al Presidente de la República como suprema autoridad administrativa y dar desarrollo a sus órdenes que se relacionen con tales atribuciones. </w:t>
            </w:r>
          </w:p>
          <w:p w14:paraId="1254EDBA"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5F30B33D"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3. Cumplir las funciones y atender los servicios que les están asignados y dictar, en desarrollo de la ley y de los decretos respectivos, las normas necesarias para tal efecto. </w:t>
            </w:r>
          </w:p>
          <w:p w14:paraId="6A590D9D"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756C33CC"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4. Preparar los anteproyectos de planes o programas de inversiones y otros desembolsos públicos correspondientes a su sector y los planes de desarrollo administrativo del mismo. </w:t>
            </w:r>
          </w:p>
          <w:p w14:paraId="530C0B4D"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101A5BEC"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5. Coordinar la ejecución de sus planes y programas con las entidades territoriales y prestarles asesoría, cooperación y asistencia técnica. </w:t>
            </w:r>
          </w:p>
          <w:p w14:paraId="5E452321"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1D61A43F"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6. Participar en la formulación de la política del Gobierno en los temas que les correspondan y adelantar su ejecución. </w:t>
            </w:r>
          </w:p>
          <w:p w14:paraId="45E6D702"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43D34490"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7. Orientar, coordinar y controlar, en la forma contemplada por las respectivas leyes y estructuras orgánicas, las superintendencias, las entidades descentralizadas y las sociedades de economía mixta que a cada uno de ellos estén adscritas o vinculadas. </w:t>
            </w:r>
          </w:p>
          <w:p w14:paraId="1AFA242D"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094AA05A"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8. Impulsar y poner en ejecución planes de desconcentración y delegación de las actividades y funciones en el respectivo sector. </w:t>
            </w:r>
          </w:p>
          <w:p w14:paraId="0EF6538C"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1AEFD3D7"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lastRenderedPageBreak/>
              <w:t>9. Promover, de conformidad con los principios constitucionales, la participación de entidades y personas privadas en la prestación de servicios y actividades relacionados con su ámbito de competencia. </w:t>
            </w:r>
          </w:p>
          <w:p w14:paraId="7D9E987F"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484D4595"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10. Organizar y coordinar el Comité Sectorial de Desarrollo Administrativo correspondiente. </w:t>
            </w:r>
          </w:p>
          <w:p w14:paraId="5773524C"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7E292065"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11. Velar por la conformación del Sistema Sectorial de Información respectivo y hacer su supervisión y seguimiento. </w:t>
            </w:r>
          </w:p>
          <w:p w14:paraId="0ACCCD63" w14:textId="77777777" w:rsidR="00C273E7" w:rsidRDefault="00C273E7" w:rsidP="00C273E7">
            <w:pPr>
              <w:pStyle w:val="Prrafodelista"/>
              <w:ind w:left="1416"/>
              <w:jc w:val="both"/>
              <w:rPr>
                <w:rFonts w:cs="Arial"/>
                <w:sz w:val="22"/>
                <w:szCs w:val="22"/>
                <w:lang w:val="es-CO" w:eastAsia="es-CO"/>
              </w:rPr>
            </w:pPr>
          </w:p>
          <w:p w14:paraId="6DF00AD4" w14:textId="77777777" w:rsidR="00C273E7" w:rsidRDefault="00C273E7" w:rsidP="00C273E7">
            <w:pPr>
              <w:pStyle w:val="Prrafodelista"/>
              <w:ind w:left="1416"/>
              <w:jc w:val="both"/>
              <w:rPr>
                <w:rFonts w:cs="Arial"/>
                <w:sz w:val="22"/>
                <w:szCs w:val="22"/>
                <w:lang w:val="es-CO" w:eastAsia="es-CO"/>
              </w:rPr>
            </w:pPr>
            <w:r>
              <w:rPr>
                <w:rFonts w:cs="Arial"/>
                <w:b/>
                <w:bCs/>
                <w:sz w:val="22"/>
                <w:szCs w:val="22"/>
                <w:lang w:val="es-CO" w:eastAsia="es-CO"/>
              </w:rPr>
              <w:t xml:space="preserve">Artículo 61. </w:t>
            </w:r>
            <w:r>
              <w:rPr>
                <w:rFonts w:cs="Arial"/>
                <w:i/>
                <w:iCs/>
                <w:sz w:val="22"/>
                <w:szCs w:val="22"/>
                <w:lang w:val="es-CO" w:eastAsia="es-CO"/>
              </w:rPr>
              <w:t>Funciones de los ministros. </w:t>
            </w:r>
            <w:r>
              <w:rPr>
                <w:rFonts w:cs="Arial"/>
                <w:sz w:val="22"/>
                <w:szCs w:val="22"/>
                <w:lang w:val="es-CO" w:eastAsia="es-CO"/>
              </w:rPr>
              <w:t>Son funciones de los ministros, además de las que les señalan la Constitución Política y las disposiciones legales especiales, las siguientes: </w:t>
            </w:r>
          </w:p>
          <w:p w14:paraId="2CDC6C3D"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1F313881"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a) Ejercer, bajo su propia responsabilidad, las funciones que el Presidente de la República les delegue o la ley les confiera y vigilar el cumplimiento de las que por mandato legal se hayan otorgado a dependencias del Ministerio, así como de las que se hayan delegado en funcionarios del mismo; </w:t>
            </w:r>
          </w:p>
          <w:p w14:paraId="3E516642"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53CCD10F"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b) Participar en la orientación, coordinación y control de las superintendencias, entidades descentralizadas y sociedades de economía mixta, adscritas o vinculadas a su Despacho, conforme a las leyes y a los respectivos estatutos; </w:t>
            </w:r>
          </w:p>
          <w:p w14:paraId="737D198B"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2149D552"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c) Dirigir y orientar la función de planeación del sector administrativo a su cargo; </w:t>
            </w:r>
          </w:p>
          <w:p w14:paraId="28896CF4"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3B258F07"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d) Revisar y aprobar los anteproyectos de presupuestos de inversión y de funcionamiento y el prospecto de utilización de los recursos del crédito público que se contemplen para el sector a su cargo; </w:t>
            </w:r>
          </w:p>
          <w:p w14:paraId="2AECD6D6"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5AFA9AAB"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e) Vigilar el curso de la ejecución del presupuesto correspondiente al Ministerio; </w:t>
            </w:r>
          </w:p>
          <w:p w14:paraId="5B0C8489"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0A4563A0"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f) Suscribir en nombre de la Nación y de conformidad con el Estatuto General de Contratación y la Ley Orgánica de Presupuesto, los contratos relativos a asuntos propios del Ministerio previa delegación del Presidente de la República; </w:t>
            </w:r>
          </w:p>
          <w:p w14:paraId="230B9B29"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0F4C49EA"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g) Dirigir las funciones de administración de personal conforme a las normas sobre la materia; </w:t>
            </w:r>
          </w:p>
          <w:p w14:paraId="7CBC5D90"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615E490F"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h) Actuar como superior inmediato, sin perjuicio de la función nominadora, de los superintendentes y representantes legales de entidades descentralizadas adscritas o vinculadas. </w:t>
            </w:r>
          </w:p>
          <w:p w14:paraId="7925A614"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3461411B" w14:textId="77777777" w:rsidR="00C273E7" w:rsidRDefault="00C273E7" w:rsidP="00C273E7">
            <w:pPr>
              <w:pStyle w:val="Prrafodelista"/>
              <w:ind w:left="1416"/>
              <w:jc w:val="both"/>
              <w:rPr>
                <w:rFonts w:cs="Arial"/>
                <w:sz w:val="22"/>
                <w:szCs w:val="22"/>
                <w:lang w:val="es-CO" w:eastAsia="es-CO"/>
              </w:rPr>
            </w:pPr>
            <w:r>
              <w:rPr>
                <w:rFonts w:cs="Arial"/>
                <w:b/>
                <w:bCs/>
                <w:sz w:val="22"/>
                <w:szCs w:val="22"/>
                <w:lang w:val="es-CO" w:eastAsia="es-CO"/>
              </w:rPr>
              <w:t>Parágrafo.</w:t>
            </w:r>
            <w:r>
              <w:rPr>
                <w:rFonts w:cs="Arial"/>
                <w:sz w:val="22"/>
                <w:szCs w:val="22"/>
                <w:lang w:val="es-CO" w:eastAsia="es-CO"/>
              </w:rPr>
              <w:t> La representación de la Nación en todo tipo de procesos judiciales se sujetará a lo dispuesto en el Código Contencioso Administrativo y a las disposiciones especiales relacionadas. </w:t>
            </w:r>
          </w:p>
          <w:p w14:paraId="120B7BC2" w14:textId="77777777" w:rsidR="00C273E7" w:rsidRDefault="00C273E7" w:rsidP="00C273E7">
            <w:pPr>
              <w:pStyle w:val="Prrafodelista"/>
              <w:ind w:left="1416"/>
              <w:jc w:val="both"/>
              <w:rPr>
                <w:rFonts w:cs="Arial"/>
                <w:sz w:val="22"/>
                <w:szCs w:val="22"/>
                <w:lang w:val="es-CO" w:eastAsia="es-CO"/>
              </w:rPr>
            </w:pPr>
          </w:p>
          <w:p w14:paraId="5D9777DF" w14:textId="77777777" w:rsidR="00C273E7" w:rsidRDefault="00C273E7" w:rsidP="00C273E7">
            <w:pPr>
              <w:pStyle w:val="Prrafodelista"/>
              <w:ind w:left="1416"/>
              <w:jc w:val="both"/>
              <w:rPr>
                <w:rFonts w:cs="Arial"/>
                <w:sz w:val="22"/>
                <w:szCs w:val="22"/>
                <w:lang w:val="es-CO" w:eastAsia="es-CO"/>
              </w:rPr>
            </w:pPr>
            <w:r>
              <w:rPr>
                <w:rFonts w:cs="Arial"/>
                <w:b/>
                <w:bCs/>
                <w:sz w:val="22"/>
                <w:szCs w:val="22"/>
                <w:lang w:val="es-CO" w:eastAsia="es-CO"/>
              </w:rPr>
              <w:t xml:space="preserve">Artículo 65. </w:t>
            </w:r>
            <w:r>
              <w:rPr>
                <w:rFonts w:cs="Arial"/>
                <w:i/>
                <w:iCs/>
                <w:sz w:val="22"/>
                <w:szCs w:val="22"/>
                <w:lang w:val="es-CO" w:eastAsia="es-CO"/>
              </w:rPr>
              <w:t>Organización y funcionamiento de los departamentos administrativos. </w:t>
            </w:r>
            <w:r>
              <w:rPr>
                <w:rFonts w:cs="Arial"/>
                <w:sz w:val="22"/>
                <w:szCs w:val="22"/>
                <w:lang w:val="es-CO" w:eastAsia="es-CO"/>
              </w:rPr>
              <w:t>La estructura orgánica y el funcionamiento de los departamentos administrativos, sin perjuicio de lo dispuesto en esta ley, se rigen por las normas de creación y organización. Habrá, en cada uno, un Director de Departamento y un Subdirector que tendrán las funciones, en cuanto fueren pertinentes, contempladas para el Ministro y los viceministros, respectivamente. </w:t>
            </w:r>
          </w:p>
          <w:p w14:paraId="16DEA146"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t>  </w:t>
            </w:r>
          </w:p>
          <w:p w14:paraId="75DDA62F" w14:textId="77777777" w:rsidR="00C273E7" w:rsidRDefault="00C273E7" w:rsidP="00C273E7">
            <w:pPr>
              <w:pStyle w:val="Prrafodelista"/>
              <w:ind w:left="1416"/>
              <w:jc w:val="both"/>
              <w:rPr>
                <w:rFonts w:cs="Arial"/>
                <w:sz w:val="22"/>
                <w:szCs w:val="22"/>
                <w:lang w:val="es-CO" w:eastAsia="es-CO"/>
              </w:rPr>
            </w:pPr>
            <w:r>
              <w:rPr>
                <w:rFonts w:cs="Arial"/>
                <w:sz w:val="22"/>
                <w:szCs w:val="22"/>
                <w:lang w:val="es-CO" w:eastAsia="es-CO"/>
              </w:rPr>
              <w:lastRenderedPageBreak/>
              <w:t>En los departamentos administrativos funcionarán, además, las unidades, los consejos, comisiones o comités técnicos que para cada uno se determinen”. </w:t>
            </w:r>
          </w:p>
          <w:p w14:paraId="533D5C46" w14:textId="77777777" w:rsidR="00C273E7" w:rsidRDefault="00C273E7" w:rsidP="00C273E7">
            <w:pPr>
              <w:pStyle w:val="Prrafodelista"/>
              <w:ind w:left="1416"/>
              <w:jc w:val="both"/>
              <w:rPr>
                <w:rFonts w:cs="Arial"/>
                <w:sz w:val="22"/>
                <w:szCs w:val="22"/>
                <w:lang w:val="es-CO" w:eastAsia="es-CO"/>
              </w:rPr>
            </w:pPr>
          </w:p>
          <w:p w14:paraId="7409C55D" w14:textId="77777777" w:rsidR="00C273E7" w:rsidRDefault="00C273E7" w:rsidP="00C273E7">
            <w:pPr>
              <w:ind w:left="931"/>
              <w:jc w:val="both"/>
              <w:rPr>
                <w:rFonts w:cs="Arial"/>
                <w:sz w:val="22"/>
                <w:szCs w:val="22"/>
                <w:lang w:val="es-CO" w:eastAsia="es-CO"/>
              </w:rPr>
            </w:pPr>
            <w:r>
              <w:rPr>
                <w:rFonts w:cs="Arial"/>
                <w:sz w:val="22"/>
                <w:szCs w:val="22"/>
                <w:lang w:val="es-CO" w:eastAsia="es-CO"/>
              </w:rPr>
              <w:t xml:space="preserve">Nota 1: publicado en el Diario Oficial año </w:t>
            </w:r>
            <w:r>
              <w:rPr>
                <w:rFonts w:cs="Arial"/>
                <w:color w:val="000000"/>
                <w:sz w:val="22"/>
                <w:szCs w:val="22"/>
              </w:rPr>
              <w:t>CXXXIV N. 43464, 30 de diciembre 1998 pág. 1</w:t>
            </w:r>
            <w:r>
              <w:rPr>
                <w:rFonts w:cs="Arial"/>
                <w:sz w:val="22"/>
                <w:szCs w:val="22"/>
                <w:lang w:val="es-CO" w:eastAsia="es-CO"/>
              </w:rPr>
              <w:t>.</w:t>
            </w:r>
          </w:p>
          <w:p w14:paraId="35E57C1E" w14:textId="77777777" w:rsidR="00C273E7" w:rsidRDefault="00C273E7" w:rsidP="00C273E7">
            <w:pPr>
              <w:ind w:left="931"/>
              <w:jc w:val="both"/>
              <w:rPr>
                <w:rFonts w:cs="Arial"/>
                <w:sz w:val="22"/>
                <w:szCs w:val="22"/>
                <w:lang w:val="es-CO" w:eastAsia="es-CO"/>
              </w:rPr>
            </w:pPr>
          </w:p>
          <w:p w14:paraId="3FD76423" w14:textId="77777777" w:rsidR="00C273E7" w:rsidRDefault="00C273E7" w:rsidP="00C273E7">
            <w:pPr>
              <w:ind w:left="931"/>
              <w:jc w:val="both"/>
              <w:rPr>
                <w:rFonts w:cs="Arial"/>
                <w:color w:val="000000"/>
                <w:sz w:val="22"/>
                <w:szCs w:val="22"/>
              </w:rPr>
            </w:pPr>
            <w:r>
              <w:rPr>
                <w:rFonts w:cs="Arial"/>
                <w:color w:val="000000"/>
                <w:sz w:val="22"/>
                <w:szCs w:val="22"/>
              </w:rPr>
              <w:t xml:space="preserve">Nota 2: Estado de vigencia: Vigente. Fecha de expedición de la norma </w:t>
            </w:r>
            <w:r>
              <w:rPr>
                <w:rFonts w:cs="Arial"/>
                <w:color w:val="000000"/>
                <w:sz w:val="22"/>
                <w:szCs w:val="22"/>
                <w:shd w:val="clear" w:color="auto" w:fill="F9F9F9"/>
              </w:rPr>
              <w:t>29/12/1998</w:t>
            </w:r>
            <w:r>
              <w:rPr>
                <w:rFonts w:cs="Arial"/>
                <w:color w:val="000000"/>
                <w:sz w:val="22"/>
                <w:szCs w:val="22"/>
              </w:rPr>
              <w:t xml:space="preserve">. Fecha de publicación de la norma </w:t>
            </w:r>
            <w:r>
              <w:rPr>
                <w:rFonts w:cs="Arial"/>
                <w:color w:val="000000"/>
                <w:sz w:val="22"/>
                <w:szCs w:val="22"/>
                <w:shd w:val="clear" w:color="auto" w:fill="F9F9F9"/>
              </w:rPr>
              <w:t xml:space="preserve">30/12/1998 </w:t>
            </w:r>
            <w:r>
              <w:rPr>
                <w:rFonts w:cs="Arial"/>
                <w:color w:val="000000"/>
                <w:sz w:val="22"/>
                <w:szCs w:val="22"/>
              </w:rPr>
              <w:t xml:space="preserve">Fecha de entrada en vigor de la norma </w:t>
            </w:r>
            <w:r>
              <w:rPr>
                <w:rFonts w:cs="Arial"/>
                <w:color w:val="000000"/>
                <w:sz w:val="22"/>
                <w:szCs w:val="22"/>
                <w:shd w:val="clear" w:color="auto" w:fill="F9F9F9"/>
              </w:rPr>
              <w:t>30/12/1998</w:t>
            </w:r>
            <w:r>
              <w:rPr>
                <w:rFonts w:cs="Arial"/>
                <w:color w:val="000000"/>
                <w:sz w:val="22"/>
                <w:szCs w:val="22"/>
              </w:rPr>
              <w:t>.</w:t>
            </w:r>
          </w:p>
          <w:p w14:paraId="49A73CEA" w14:textId="257A59AC" w:rsidR="00C273E7" w:rsidRDefault="00C273E7" w:rsidP="00825EB0">
            <w:pPr>
              <w:ind w:left="494" w:hanging="283"/>
              <w:jc w:val="both"/>
              <w:rPr>
                <w:rFonts w:cs="Arial"/>
                <w:sz w:val="22"/>
                <w:szCs w:val="22"/>
                <w:lang w:val="es-CO" w:eastAsia="es-CO"/>
              </w:rPr>
            </w:pPr>
          </w:p>
          <w:p w14:paraId="61CEDD0B" w14:textId="5802ECBA" w:rsidR="00C273E7" w:rsidRDefault="00C273E7" w:rsidP="00825EB0">
            <w:pPr>
              <w:ind w:left="494" w:hanging="283"/>
              <w:jc w:val="both"/>
              <w:rPr>
                <w:rFonts w:cs="Arial"/>
                <w:sz w:val="22"/>
                <w:szCs w:val="22"/>
                <w:lang w:val="es-CO" w:eastAsia="es-CO"/>
              </w:rPr>
            </w:pPr>
          </w:p>
          <w:p w14:paraId="03406D79" w14:textId="28B0DC0D" w:rsidR="00C273E7" w:rsidRPr="00402BE8" w:rsidRDefault="00C273E7" w:rsidP="00C273E7">
            <w:pPr>
              <w:pStyle w:val="Prrafodelista"/>
              <w:numPr>
                <w:ilvl w:val="0"/>
                <w:numId w:val="12"/>
              </w:numPr>
              <w:jc w:val="both"/>
              <w:rPr>
                <w:rFonts w:cs="Arial"/>
                <w:sz w:val="22"/>
                <w:szCs w:val="22"/>
                <w:lang w:val="es-CO" w:eastAsia="es-CO"/>
              </w:rPr>
            </w:pPr>
            <w:r w:rsidRPr="00C273E7">
              <w:rPr>
                <w:rFonts w:cs="Arial"/>
                <w:sz w:val="22"/>
                <w:szCs w:val="22"/>
                <w:lang w:val="es-ES_tradnl" w:eastAsia="es-CO"/>
              </w:rPr>
              <w:t>Ley 1532 de 2012</w:t>
            </w:r>
          </w:p>
          <w:p w14:paraId="28D61668" w14:textId="784F810F" w:rsidR="00C273E7" w:rsidRPr="00C273E7" w:rsidRDefault="00C273E7" w:rsidP="00C273E7">
            <w:pPr>
              <w:ind w:left="931"/>
              <w:rPr>
                <w:rFonts w:cs="Arial"/>
                <w:sz w:val="22"/>
                <w:szCs w:val="22"/>
                <w:lang w:val="es-CO" w:eastAsia="es-CO"/>
              </w:rPr>
            </w:pPr>
            <w:r w:rsidRPr="00C273E7">
              <w:rPr>
                <w:rFonts w:cs="Arial"/>
                <w:sz w:val="22"/>
                <w:szCs w:val="22"/>
                <w:lang w:val="es-CO" w:eastAsia="es-CO"/>
              </w:rPr>
              <w:t>“por medio de la cual se adoptan unas medidas de política y se regula el funcionamiento del Programa Familias en Acción”</w:t>
            </w:r>
          </w:p>
          <w:p w14:paraId="1D171337" w14:textId="1948D4B6" w:rsidR="00C273E7" w:rsidRPr="00C273E7" w:rsidRDefault="00C273E7" w:rsidP="00C273E7">
            <w:pPr>
              <w:ind w:left="931"/>
              <w:rPr>
                <w:rFonts w:cs="Arial"/>
                <w:sz w:val="22"/>
                <w:szCs w:val="22"/>
                <w:lang w:val="es-CO" w:eastAsia="es-CO"/>
              </w:rPr>
            </w:pPr>
          </w:p>
          <w:p w14:paraId="1A1518A5" w14:textId="7C05E991" w:rsidR="00C273E7" w:rsidRPr="00402BE8" w:rsidRDefault="00C273E7" w:rsidP="00C273E7">
            <w:pPr>
              <w:ind w:left="1416"/>
              <w:rPr>
                <w:rFonts w:cs="Arial"/>
                <w:color w:val="000000"/>
                <w:sz w:val="22"/>
                <w:szCs w:val="22"/>
              </w:rPr>
            </w:pPr>
            <w:r w:rsidRPr="00402BE8">
              <w:rPr>
                <w:rStyle w:val="Textoennegrita"/>
                <w:rFonts w:cs="Arial"/>
                <w:color w:val="000000"/>
                <w:sz w:val="22"/>
                <w:szCs w:val="22"/>
              </w:rPr>
              <w:t>Artículo 1</w:t>
            </w:r>
            <w:proofErr w:type="gramStart"/>
            <w:r w:rsidRPr="00402BE8">
              <w:rPr>
                <w:rStyle w:val="Textoennegrita"/>
                <w:rFonts w:cs="Arial"/>
                <w:color w:val="000000"/>
                <w:sz w:val="22"/>
                <w:szCs w:val="22"/>
              </w:rPr>
              <w:t>°.</w:t>
            </w:r>
            <w:r w:rsidRPr="00402BE8">
              <w:rPr>
                <w:rFonts w:cs="Arial"/>
                <w:color w:val="000000"/>
                <w:sz w:val="22"/>
                <w:szCs w:val="22"/>
              </w:rPr>
              <w:t>El</w:t>
            </w:r>
            <w:proofErr w:type="gramEnd"/>
            <w:r w:rsidRPr="00402BE8">
              <w:rPr>
                <w:rFonts w:cs="Arial"/>
                <w:color w:val="000000"/>
                <w:sz w:val="22"/>
                <w:szCs w:val="22"/>
              </w:rPr>
              <w:t xml:space="preserve"> programa Familias en Acción desarrollará sus acciones bajo la dirección y coordinación del Departamento Administrativo para la Prosperidad Social, entidad encargada de regular, ejecutar, vigilar y realizar el respectivo seguimiento de las acciones, planes y mecanismos implementados, en el marco de este programa. </w:t>
            </w:r>
          </w:p>
          <w:p w14:paraId="09DE65CD" w14:textId="33F42258" w:rsidR="00C273E7" w:rsidRPr="00C273E7" w:rsidRDefault="00C273E7" w:rsidP="00C273E7">
            <w:pPr>
              <w:ind w:left="1416"/>
              <w:rPr>
                <w:rFonts w:cs="Arial"/>
                <w:sz w:val="22"/>
                <w:szCs w:val="22"/>
                <w:lang w:val="es-CO" w:eastAsia="es-CO"/>
              </w:rPr>
            </w:pPr>
          </w:p>
          <w:p w14:paraId="37D65EA3" w14:textId="526C6B09" w:rsidR="00C273E7" w:rsidRPr="00402BE8" w:rsidRDefault="00C273E7" w:rsidP="00C273E7">
            <w:pPr>
              <w:ind w:left="1416"/>
              <w:rPr>
                <w:rFonts w:cs="Arial"/>
                <w:color w:val="000000"/>
                <w:sz w:val="22"/>
                <w:szCs w:val="22"/>
              </w:rPr>
            </w:pPr>
            <w:r w:rsidRPr="00402BE8">
              <w:rPr>
                <w:rStyle w:val="Textoennegrita"/>
                <w:rFonts w:cs="Arial"/>
                <w:color w:val="000000"/>
                <w:sz w:val="22"/>
                <w:szCs w:val="22"/>
              </w:rPr>
              <w:t>Artículo 4°.</w:t>
            </w:r>
            <w:r w:rsidRPr="00402BE8">
              <w:rPr>
                <w:rFonts w:cs="Arial"/>
                <w:color w:val="000000"/>
                <w:sz w:val="22"/>
                <w:szCs w:val="22"/>
              </w:rPr>
              <w:t> Beneficiarios. Serán beneficiarios de las transferencias monetarias condicionadas del Programa Familias en Acción:</w:t>
            </w:r>
            <w:r w:rsidRPr="00402BE8">
              <w:rPr>
                <w:rFonts w:cs="Arial"/>
                <w:color w:val="000000"/>
                <w:sz w:val="22"/>
                <w:szCs w:val="22"/>
              </w:rPr>
              <w:br/>
            </w:r>
            <w:r w:rsidRPr="00402BE8">
              <w:rPr>
                <w:rFonts w:cs="Arial"/>
                <w:color w:val="000000"/>
                <w:sz w:val="22"/>
                <w:szCs w:val="22"/>
              </w:rPr>
              <w:br/>
              <w:t>I. Las familias en situación de pobreza y pobreza extrema, de acuerdo con los criterios establecidos por el Gobierno nacional a través del Departamento Administrativo para la Prosperidad Social, en concordancia con lo establecido en los artículos 1°, 2° y 3° de la presente ley;(…)</w:t>
            </w:r>
          </w:p>
          <w:p w14:paraId="24531735" w14:textId="22AE050D" w:rsidR="00C273E7" w:rsidRPr="00C273E7" w:rsidRDefault="00C273E7" w:rsidP="00C273E7">
            <w:pPr>
              <w:ind w:left="1416"/>
              <w:rPr>
                <w:rFonts w:cs="Arial"/>
                <w:sz w:val="22"/>
                <w:szCs w:val="22"/>
                <w:lang w:val="es-CO" w:eastAsia="es-CO"/>
              </w:rPr>
            </w:pPr>
          </w:p>
          <w:p w14:paraId="2E6338A5" w14:textId="77777777" w:rsidR="00C273E7" w:rsidRPr="00C273E7" w:rsidRDefault="00C273E7" w:rsidP="00402BE8">
            <w:pPr>
              <w:ind w:left="1416"/>
              <w:jc w:val="both"/>
              <w:rPr>
                <w:rFonts w:cs="Arial"/>
                <w:sz w:val="22"/>
                <w:szCs w:val="22"/>
                <w:lang w:val="es-CO" w:eastAsia="es-CO"/>
              </w:rPr>
            </w:pPr>
            <w:r w:rsidRPr="00C273E7">
              <w:rPr>
                <w:rFonts w:cs="Arial"/>
                <w:b/>
                <w:bCs/>
                <w:sz w:val="22"/>
                <w:szCs w:val="22"/>
                <w:lang w:val="es-CO" w:eastAsia="es-CO"/>
              </w:rPr>
              <w:t>Artículo</w:t>
            </w:r>
            <w:r w:rsidRPr="00C273E7">
              <w:rPr>
                <w:rFonts w:cs="Arial"/>
                <w:sz w:val="22"/>
                <w:szCs w:val="22"/>
                <w:lang w:val="es-CO" w:eastAsia="es-CO"/>
              </w:rPr>
              <w:t> 6°.</w:t>
            </w:r>
            <w:r w:rsidRPr="00C273E7">
              <w:rPr>
                <w:rFonts w:cs="Arial"/>
                <w:i/>
                <w:iCs/>
                <w:sz w:val="22"/>
                <w:szCs w:val="22"/>
                <w:lang w:val="es-CO" w:eastAsia="es-CO"/>
              </w:rPr>
              <w:t>Tipos de subsidios.</w:t>
            </w:r>
            <w:r w:rsidRPr="00C273E7">
              <w:rPr>
                <w:rFonts w:cs="Arial"/>
                <w:sz w:val="22"/>
                <w:szCs w:val="22"/>
                <w:lang w:val="es-CO" w:eastAsia="es-CO"/>
              </w:rPr>
              <w:t> El Gobierno Nacional a través del Departamento Administrativo para la Prosperidad Social y el Departamento Nacional de Planeación, definirán los tipos de subsidios condicionados y los montos, de acuerdo con las prioridades del Plan Nacional de Desarrollo y los objetivos en términos de superación de pobreza. </w:t>
            </w:r>
          </w:p>
          <w:p w14:paraId="2F80CAD0" w14:textId="77777777" w:rsidR="00C273E7" w:rsidRPr="00C273E7" w:rsidRDefault="00C273E7" w:rsidP="00402BE8">
            <w:pPr>
              <w:ind w:left="1416"/>
              <w:jc w:val="both"/>
              <w:rPr>
                <w:rFonts w:cs="Arial"/>
                <w:sz w:val="22"/>
                <w:szCs w:val="22"/>
                <w:lang w:val="es-CO" w:eastAsia="es-CO"/>
              </w:rPr>
            </w:pPr>
            <w:r w:rsidRPr="00C273E7">
              <w:rPr>
                <w:rFonts w:cs="Arial"/>
                <w:sz w:val="22"/>
                <w:szCs w:val="22"/>
                <w:lang w:val="es-CO" w:eastAsia="es-CO"/>
              </w:rPr>
              <w:t>  </w:t>
            </w:r>
          </w:p>
          <w:p w14:paraId="7AF1623A" w14:textId="77F5EBD9" w:rsidR="00C273E7" w:rsidRPr="00402BE8" w:rsidRDefault="00C273E7" w:rsidP="00C273E7">
            <w:pPr>
              <w:ind w:left="1416"/>
              <w:jc w:val="both"/>
              <w:rPr>
                <w:rFonts w:cs="Arial"/>
                <w:sz w:val="22"/>
                <w:szCs w:val="22"/>
                <w:lang w:val="es-CO" w:eastAsia="es-CO"/>
              </w:rPr>
            </w:pPr>
            <w:r w:rsidRPr="00C273E7">
              <w:rPr>
                <w:rFonts w:cs="Arial"/>
                <w:sz w:val="22"/>
                <w:szCs w:val="22"/>
                <w:lang w:val="es-CO" w:eastAsia="es-CO"/>
              </w:rPr>
              <w:t>Cada año el programa realizará una revisión de los criterios de los subsidios y de los montos, en todo caso el reajuste no podrá ser menor al IPC de ingresos bajos. </w:t>
            </w:r>
          </w:p>
          <w:p w14:paraId="3065CD2F" w14:textId="4C7D4689" w:rsidR="00C273E7" w:rsidRPr="00402BE8" w:rsidRDefault="00C273E7" w:rsidP="00C273E7">
            <w:pPr>
              <w:ind w:left="1416"/>
              <w:jc w:val="both"/>
              <w:rPr>
                <w:rFonts w:cs="Arial"/>
                <w:sz w:val="22"/>
                <w:szCs w:val="22"/>
                <w:lang w:val="es-CO" w:eastAsia="es-CO"/>
              </w:rPr>
            </w:pPr>
          </w:p>
          <w:p w14:paraId="6A4F2630" w14:textId="238FB7CE" w:rsidR="00C273E7" w:rsidRPr="00402BE8" w:rsidRDefault="00C273E7" w:rsidP="00C273E7">
            <w:pPr>
              <w:ind w:left="1416"/>
              <w:jc w:val="both"/>
              <w:rPr>
                <w:rFonts w:cs="Arial"/>
                <w:sz w:val="22"/>
                <w:szCs w:val="22"/>
                <w:lang w:val="es-CO" w:eastAsia="es-CO"/>
              </w:rPr>
            </w:pPr>
            <w:r w:rsidRPr="00402BE8">
              <w:rPr>
                <w:rFonts w:cs="Arial"/>
                <w:b/>
                <w:bCs/>
                <w:i/>
                <w:iCs/>
                <w:sz w:val="22"/>
                <w:szCs w:val="22"/>
                <w:lang w:val="es-CO" w:eastAsia="es-CO"/>
              </w:rPr>
              <w:t>Artículo</w:t>
            </w:r>
            <w:r w:rsidRPr="00402BE8">
              <w:rPr>
                <w:rFonts w:cs="Arial"/>
                <w:b/>
                <w:bCs/>
                <w:sz w:val="22"/>
                <w:szCs w:val="22"/>
                <w:lang w:val="es-CO" w:eastAsia="es-CO"/>
              </w:rPr>
              <w:t xml:space="preserve">10. </w:t>
            </w:r>
            <w:r w:rsidRPr="00402BE8">
              <w:rPr>
                <w:rFonts w:cs="Arial"/>
                <w:sz w:val="22"/>
                <w:szCs w:val="22"/>
                <w:lang w:val="es-CO" w:eastAsia="es-CO"/>
              </w:rPr>
              <w:t>Periodicidad y forma de pago. </w:t>
            </w:r>
            <w:r w:rsidRPr="00402BE8">
              <w:rPr>
                <w:rFonts w:cs="Arial"/>
                <w:i/>
                <w:iCs/>
                <w:sz w:val="22"/>
                <w:szCs w:val="22"/>
                <w:lang w:val="es-CO" w:eastAsia="es-CO"/>
              </w:rPr>
              <w:t>Los pagos a las familias se efectuarán cada dos meses, en las condiciones estipuladas por el Departamento Administrativo para la Prosperidad Social. No obstante lo anterior en relación con emergencias de orden social o económicas esta periodicidad puede ser modificada.</w:t>
            </w:r>
            <w:r w:rsidRPr="00402BE8">
              <w:rPr>
                <w:rFonts w:cs="Arial"/>
                <w:sz w:val="22"/>
                <w:szCs w:val="22"/>
                <w:lang w:val="es-CO" w:eastAsia="es-CO"/>
              </w:rPr>
              <w:t> </w:t>
            </w:r>
          </w:p>
          <w:p w14:paraId="79790183" w14:textId="77777777" w:rsidR="00C273E7" w:rsidRPr="00402BE8" w:rsidRDefault="00C273E7" w:rsidP="00C273E7">
            <w:pPr>
              <w:ind w:left="1416"/>
              <w:jc w:val="both"/>
              <w:rPr>
                <w:rFonts w:cs="Arial"/>
                <w:sz w:val="22"/>
                <w:szCs w:val="22"/>
                <w:lang w:val="es-CO" w:eastAsia="es-CO"/>
              </w:rPr>
            </w:pPr>
            <w:r w:rsidRPr="00402BE8">
              <w:rPr>
                <w:rFonts w:cs="Arial"/>
                <w:sz w:val="22"/>
                <w:szCs w:val="22"/>
                <w:lang w:val="es-CO" w:eastAsia="es-CO"/>
              </w:rPr>
              <w:t>  </w:t>
            </w:r>
          </w:p>
          <w:p w14:paraId="323BE505" w14:textId="77777777" w:rsidR="00C273E7" w:rsidRPr="00402BE8" w:rsidRDefault="00C273E7" w:rsidP="00C273E7">
            <w:pPr>
              <w:ind w:left="1416"/>
              <w:jc w:val="both"/>
              <w:rPr>
                <w:rFonts w:cs="Arial"/>
                <w:sz w:val="22"/>
                <w:szCs w:val="22"/>
                <w:lang w:val="es-CO" w:eastAsia="es-CO"/>
              </w:rPr>
            </w:pPr>
            <w:r w:rsidRPr="00402BE8">
              <w:rPr>
                <w:rFonts w:cs="Arial"/>
                <w:b/>
                <w:bCs/>
                <w:sz w:val="22"/>
                <w:szCs w:val="22"/>
                <w:lang w:val="es-CO" w:eastAsia="es-CO"/>
              </w:rPr>
              <w:t>Parágrafo 1°</w:t>
            </w:r>
            <w:r w:rsidRPr="00402BE8">
              <w:rPr>
                <w:rFonts w:cs="Arial"/>
                <w:sz w:val="22"/>
                <w:szCs w:val="22"/>
                <w:lang w:val="es-CO" w:eastAsia="es-CO"/>
              </w:rPr>
              <w:t>.El programa utilizará como mecanismo de pago en la medida en que sea posible, cualquier producto financiero transaccional, a fin de lograr mecanismos de bancarización e inclusión financiera. Las comisiones que se reconozcan a las entidades financieras, por el servicio de pago de los subsidios en cualquier esquema, serán pagadas directamente con recursos del programa y en ningún caso serán asumidas por las familias beneficiarias. </w:t>
            </w:r>
          </w:p>
          <w:p w14:paraId="3ECDAFFB" w14:textId="77777777" w:rsidR="00C273E7" w:rsidRPr="00402BE8" w:rsidRDefault="00C273E7" w:rsidP="00C273E7">
            <w:pPr>
              <w:ind w:left="1416"/>
              <w:jc w:val="both"/>
              <w:rPr>
                <w:rFonts w:cs="Arial"/>
                <w:sz w:val="22"/>
                <w:szCs w:val="22"/>
                <w:lang w:val="es-CO" w:eastAsia="es-CO"/>
              </w:rPr>
            </w:pPr>
            <w:r w:rsidRPr="00402BE8">
              <w:rPr>
                <w:rFonts w:cs="Arial"/>
                <w:sz w:val="22"/>
                <w:szCs w:val="22"/>
                <w:lang w:val="es-CO" w:eastAsia="es-CO"/>
              </w:rPr>
              <w:t>  </w:t>
            </w:r>
          </w:p>
          <w:p w14:paraId="73E50EBE" w14:textId="77777777" w:rsidR="00C273E7" w:rsidRPr="00402BE8" w:rsidRDefault="00C273E7" w:rsidP="00C273E7">
            <w:pPr>
              <w:ind w:left="1416"/>
              <w:jc w:val="both"/>
              <w:rPr>
                <w:rFonts w:cs="Arial"/>
                <w:sz w:val="22"/>
                <w:szCs w:val="22"/>
                <w:lang w:val="es-CO" w:eastAsia="es-CO"/>
              </w:rPr>
            </w:pPr>
            <w:r w:rsidRPr="00402BE8">
              <w:rPr>
                <w:rFonts w:cs="Arial"/>
                <w:b/>
                <w:bCs/>
                <w:sz w:val="22"/>
                <w:szCs w:val="22"/>
                <w:lang w:val="es-CO" w:eastAsia="es-CO"/>
              </w:rPr>
              <w:t>Parágrafo 2°.</w:t>
            </w:r>
            <w:bookmarkStart w:id="3" w:name="_Hlk119492663"/>
            <w:r w:rsidRPr="00402BE8">
              <w:rPr>
                <w:rFonts w:cs="Arial"/>
                <w:sz w:val="22"/>
                <w:szCs w:val="22"/>
                <w:lang w:val="es-CO" w:eastAsia="es-CO"/>
              </w:rPr>
              <w:t>El programa privilegiará el pago de los subsidios a las mujeres del hogar, como una medida de discriminación positiva y de empoderamiento del rol de la mujer al interior de la familia</w:t>
            </w:r>
            <w:bookmarkEnd w:id="3"/>
            <w:r w:rsidRPr="00402BE8">
              <w:rPr>
                <w:rFonts w:cs="Arial"/>
                <w:sz w:val="22"/>
                <w:szCs w:val="22"/>
                <w:lang w:val="es-CO" w:eastAsia="es-CO"/>
              </w:rPr>
              <w:t>. </w:t>
            </w:r>
          </w:p>
          <w:p w14:paraId="357371B4" w14:textId="77777777" w:rsidR="00C273E7" w:rsidRPr="00402BE8" w:rsidRDefault="00C273E7" w:rsidP="00C273E7">
            <w:pPr>
              <w:ind w:left="1416"/>
              <w:jc w:val="both"/>
              <w:rPr>
                <w:rFonts w:cs="Arial"/>
                <w:sz w:val="22"/>
                <w:szCs w:val="22"/>
                <w:lang w:val="es-CO" w:eastAsia="es-CO"/>
              </w:rPr>
            </w:pPr>
            <w:r w:rsidRPr="00402BE8">
              <w:rPr>
                <w:rFonts w:cs="Arial"/>
                <w:sz w:val="22"/>
                <w:szCs w:val="22"/>
                <w:lang w:val="es-CO" w:eastAsia="es-CO"/>
              </w:rPr>
              <w:t>  </w:t>
            </w:r>
          </w:p>
          <w:p w14:paraId="28DDE8C6" w14:textId="77777777" w:rsidR="00C273E7" w:rsidRPr="00402BE8" w:rsidRDefault="00C273E7" w:rsidP="00C273E7">
            <w:pPr>
              <w:ind w:left="1416"/>
              <w:jc w:val="both"/>
              <w:rPr>
                <w:rFonts w:cs="Arial"/>
                <w:sz w:val="22"/>
                <w:szCs w:val="22"/>
                <w:lang w:val="es-CO" w:eastAsia="es-CO"/>
              </w:rPr>
            </w:pPr>
            <w:r w:rsidRPr="00402BE8">
              <w:rPr>
                <w:rFonts w:cs="Arial"/>
                <w:b/>
                <w:bCs/>
                <w:sz w:val="22"/>
                <w:szCs w:val="22"/>
                <w:lang w:val="es-CO" w:eastAsia="es-CO"/>
              </w:rPr>
              <w:lastRenderedPageBreak/>
              <w:t>Parágrafo 3°. </w:t>
            </w:r>
            <w:r w:rsidRPr="00402BE8">
              <w:rPr>
                <w:rFonts w:cs="Arial"/>
                <w:sz w:val="22"/>
                <w:szCs w:val="22"/>
                <w:lang w:val="es-CO" w:eastAsia="es-CO"/>
              </w:rPr>
              <w:t>No se podrán hacer afiliaciones al Programa Familias en Acción durante los noventa (90) días, previos a una contienda electoral de cualquier circunscripción. Se exceptúan las familias víctimas de desplazamiento forzado que se encuentren en situación de pobreza o pobreza extrema.  </w:t>
            </w:r>
          </w:p>
          <w:p w14:paraId="6437BA5C" w14:textId="77777777" w:rsidR="00C273E7" w:rsidRPr="00402BE8" w:rsidRDefault="00C273E7" w:rsidP="00C273E7">
            <w:pPr>
              <w:ind w:left="1416"/>
              <w:jc w:val="both"/>
              <w:rPr>
                <w:rFonts w:cs="Arial"/>
                <w:sz w:val="22"/>
                <w:szCs w:val="22"/>
                <w:lang w:val="es-CO" w:eastAsia="es-CO"/>
              </w:rPr>
            </w:pPr>
            <w:r w:rsidRPr="00402BE8">
              <w:rPr>
                <w:rFonts w:cs="Arial"/>
                <w:sz w:val="22"/>
                <w:szCs w:val="22"/>
                <w:lang w:val="es-CO" w:eastAsia="es-CO"/>
              </w:rPr>
              <w:t>  </w:t>
            </w:r>
          </w:p>
          <w:p w14:paraId="48F551BC" w14:textId="77777777" w:rsidR="00C273E7" w:rsidRPr="00402BE8" w:rsidRDefault="00C273E7" w:rsidP="00C273E7">
            <w:pPr>
              <w:ind w:left="1416"/>
              <w:jc w:val="both"/>
              <w:rPr>
                <w:rFonts w:cs="Arial"/>
                <w:sz w:val="22"/>
                <w:szCs w:val="22"/>
                <w:lang w:val="es-CO" w:eastAsia="es-CO"/>
              </w:rPr>
            </w:pPr>
            <w:r w:rsidRPr="00402BE8">
              <w:rPr>
                <w:rFonts w:cs="Arial"/>
                <w:b/>
                <w:bCs/>
                <w:sz w:val="22"/>
                <w:szCs w:val="22"/>
                <w:lang w:val="es-CO" w:eastAsia="es-CO"/>
              </w:rPr>
              <w:t>Parágrafo 4°.</w:t>
            </w:r>
            <w:r w:rsidRPr="00402BE8">
              <w:rPr>
                <w:rFonts w:cs="Arial"/>
                <w:sz w:val="22"/>
                <w:szCs w:val="22"/>
                <w:lang w:val="es-CO" w:eastAsia="es-CO"/>
              </w:rPr>
              <w:t>El Gobierno Nacional evaluará y/o diseñará una estrategia para la inclusión dentro del subsidio de las familias en acción a las familias con miembros discapacitados. </w:t>
            </w:r>
          </w:p>
          <w:p w14:paraId="7D07D407" w14:textId="77777777" w:rsidR="00C273E7" w:rsidRPr="00402BE8" w:rsidRDefault="00C273E7" w:rsidP="00402BE8">
            <w:pPr>
              <w:ind w:left="1416"/>
              <w:jc w:val="both"/>
              <w:rPr>
                <w:rFonts w:cs="Arial"/>
                <w:szCs w:val="22"/>
                <w:lang w:val="es-CO" w:eastAsia="es-CO"/>
              </w:rPr>
            </w:pPr>
          </w:p>
          <w:p w14:paraId="0904916D" w14:textId="2AFB92D8" w:rsidR="00C273E7" w:rsidRDefault="00C273E7" w:rsidP="00C273E7">
            <w:pPr>
              <w:ind w:left="1416"/>
              <w:rPr>
                <w:rFonts w:cs="Arial"/>
                <w:sz w:val="22"/>
                <w:szCs w:val="22"/>
                <w:lang w:val="es-CO" w:eastAsia="es-CO"/>
              </w:rPr>
            </w:pPr>
          </w:p>
          <w:p w14:paraId="5729D100" w14:textId="5D8627BB" w:rsidR="00C273E7" w:rsidRDefault="00C273E7" w:rsidP="00C273E7">
            <w:pPr>
              <w:ind w:left="931"/>
              <w:jc w:val="both"/>
              <w:rPr>
                <w:rFonts w:cs="Arial"/>
                <w:sz w:val="22"/>
                <w:szCs w:val="22"/>
                <w:lang w:val="es-CO" w:eastAsia="es-CO"/>
              </w:rPr>
            </w:pPr>
            <w:r>
              <w:rPr>
                <w:rFonts w:cs="Arial"/>
                <w:sz w:val="22"/>
                <w:szCs w:val="22"/>
                <w:lang w:val="es-CO" w:eastAsia="es-CO"/>
              </w:rPr>
              <w:t xml:space="preserve">Nota 1: publicado en el Diario Oficial año </w:t>
            </w:r>
            <w:r>
              <w:rPr>
                <w:rFonts w:cs="Arial"/>
                <w:color w:val="000000"/>
              </w:rPr>
              <w:t xml:space="preserve">CXLVIII. N. 48454. 7, Junio 2012. </w:t>
            </w:r>
            <w:proofErr w:type="spellStart"/>
            <w:r>
              <w:rPr>
                <w:rFonts w:cs="Arial"/>
                <w:color w:val="000000"/>
              </w:rPr>
              <w:t>Pag.</w:t>
            </w:r>
            <w:proofErr w:type="spellEnd"/>
            <w:r>
              <w:rPr>
                <w:rFonts w:cs="Arial"/>
                <w:color w:val="000000"/>
              </w:rPr>
              <w:t xml:space="preserve"> 1.</w:t>
            </w:r>
          </w:p>
          <w:p w14:paraId="7A43D66C" w14:textId="77777777" w:rsidR="00C273E7" w:rsidRDefault="00C273E7" w:rsidP="00C273E7">
            <w:pPr>
              <w:ind w:left="931"/>
              <w:jc w:val="both"/>
              <w:rPr>
                <w:rFonts w:cs="Arial"/>
                <w:sz w:val="22"/>
                <w:szCs w:val="22"/>
                <w:lang w:val="es-CO" w:eastAsia="es-CO"/>
              </w:rPr>
            </w:pPr>
          </w:p>
          <w:p w14:paraId="615698DB" w14:textId="77777777" w:rsidR="00C273E7" w:rsidRDefault="00C273E7" w:rsidP="00C273E7">
            <w:pPr>
              <w:ind w:left="931"/>
              <w:jc w:val="both"/>
              <w:rPr>
                <w:rFonts w:cs="Arial"/>
                <w:color w:val="000000"/>
                <w:sz w:val="22"/>
                <w:szCs w:val="22"/>
              </w:rPr>
            </w:pPr>
            <w:r>
              <w:rPr>
                <w:rFonts w:cs="Arial"/>
                <w:color w:val="000000"/>
                <w:sz w:val="22"/>
                <w:szCs w:val="22"/>
              </w:rPr>
              <w:t xml:space="preserve">Nota 2: Modificaciones: </w:t>
            </w:r>
          </w:p>
          <w:p w14:paraId="1E5F4708" w14:textId="3C98793F" w:rsidR="00C273E7" w:rsidRDefault="00C273E7" w:rsidP="00C273E7">
            <w:pPr>
              <w:pStyle w:val="Prrafodelista"/>
              <w:numPr>
                <w:ilvl w:val="2"/>
                <w:numId w:val="12"/>
              </w:numPr>
              <w:jc w:val="both"/>
              <w:rPr>
                <w:rFonts w:cs="Arial"/>
                <w:color w:val="000000"/>
                <w:sz w:val="22"/>
                <w:szCs w:val="22"/>
              </w:rPr>
            </w:pPr>
            <w:r w:rsidRPr="00402BE8">
              <w:rPr>
                <w:rFonts w:cs="Arial"/>
                <w:color w:val="000000"/>
                <w:sz w:val="22"/>
                <w:szCs w:val="22"/>
              </w:rPr>
              <w:t>Artículo 2°: Modificado por el artículo 2 de la Ley 1948 de 2019.</w:t>
            </w:r>
          </w:p>
          <w:p w14:paraId="40703550" w14:textId="1DA10281" w:rsidR="00C273E7" w:rsidRDefault="00C273E7" w:rsidP="00C273E7">
            <w:pPr>
              <w:pStyle w:val="Prrafodelista"/>
              <w:numPr>
                <w:ilvl w:val="2"/>
                <w:numId w:val="12"/>
              </w:numPr>
              <w:jc w:val="both"/>
              <w:rPr>
                <w:rFonts w:cs="Arial"/>
                <w:color w:val="000000"/>
                <w:sz w:val="22"/>
                <w:szCs w:val="22"/>
              </w:rPr>
            </w:pPr>
            <w:r w:rsidRPr="008F5302">
              <w:rPr>
                <w:rFonts w:cs="Arial"/>
                <w:color w:val="000000"/>
                <w:sz w:val="22"/>
                <w:szCs w:val="22"/>
              </w:rPr>
              <w:t xml:space="preserve">Artículo </w:t>
            </w:r>
            <w:r>
              <w:rPr>
                <w:rFonts w:cs="Arial"/>
                <w:color w:val="000000"/>
                <w:sz w:val="22"/>
                <w:szCs w:val="22"/>
              </w:rPr>
              <w:t>4</w:t>
            </w:r>
            <w:r w:rsidRPr="008F5302">
              <w:rPr>
                <w:rFonts w:cs="Arial"/>
                <w:color w:val="000000"/>
                <w:sz w:val="22"/>
                <w:szCs w:val="22"/>
              </w:rPr>
              <w:t xml:space="preserve">°: Modificado por el artículo </w:t>
            </w:r>
            <w:r>
              <w:rPr>
                <w:rFonts w:cs="Arial"/>
                <w:color w:val="000000"/>
                <w:sz w:val="22"/>
                <w:szCs w:val="22"/>
              </w:rPr>
              <w:t>4</w:t>
            </w:r>
            <w:r w:rsidRPr="008F5302">
              <w:rPr>
                <w:rFonts w:cs="Arial"/>
                <w:color w:val="000000"/>
                <w:sz w:val="22"/>
                <w:szCs w:val="22"/>
              </w:rPr>
              <w:t xml:space="preserve"> de la Ley 1948 de 2019.</w:t>
            </w:r>
          </w:p>
          <w:p w14:paraId="5EEA3757" w14:textId="5B7F6299" w:rsidR="00C273E7" w:rsidRDefault="00C273E7" w:rsidP="00C273E7">
            <w:pPr>
              <w:pStyle w:val="Prrafodelista"/>
              <w:numPr>
                <w:ilvl w:val="2"/>
                <w:numId w:val="12"/>
              </w:numPr>
              <w:jc w:val="both"/>
              <w:rPr>
                <w:rFonts w:cs="Arial"/>
                <w:color w:val="000000"/>
                <w:sz w:val="22"/>
                <w:szCs w:val="22"/>
              </w:rPr>
            </w:pPr>
            <w:r w:rsidRPr="008F5302">
              <w:rPr>
                <w:rFonts w:cs="Arial"/>
                <w:color w:val="000000"/>
                <w:sz w:val="22"/>
                <w:szCs w:val="22"/>
              </w:rPr>
              <w:t xml:space="preserve">Artículo </w:t>
            </w:r>
            <w:r>
              <w:rPr>
                <w:rFonts w:cs="Arial"/>
                <w:color w:val="000000"/>
                <w:sz w:val="22"/>
                <w:szCs w:val="22"/>
              </w:rPr>
              <w:t>10</w:t>
            </w:r>
            <w:r w:rsidRPr="008F5302">
              <w:rPr>
                <w:rFonts w:cs="Arial"/>
                <w:color w:val="000000"/>
                <w:sz w:val="22"/>
                <w:szCs w:val="22"/>
              </w:rPr>
              <w:t xml:space="preserve">°: </w:t>
            </w:r>
            <w:r w:rsidRPr="00C273E7">
              <w:rPr>
                <w:rFonts w:cs="Arial"/>
                <w:color w:val="000000"/>
                <w:sz w:val="22"/>
                <w:szCs w:val="22"/>
              </w:rPr>
              <w:t xml:space="preserve">Modificado parcialmente (Parágrafo 3°. </w:t>
            </w:r>
            <w:proofErr w:type="gramStart"/>
            <w:r w:rsidRPr="00C273E7">
              <w:rPr>
                <w:rFonts w:cs="Arial"/>
                <w:color w:val="000000"/>
                <w:sz w:val="22"/>
                <w:szCs w:val="22"/>
              </w:rPr>
              <w:t>)</w:t>
            </w:r>
            <w:r w:rsidRPr="008F5302">
              <w:rPr>
                <w:rFonts w:cs="Arial"/>
                <w:color w:val="000000"/>
                <w:sz w:val="22"/>
                <w:szCs w:val="22"/>
              </w:rPr>
              <w:t>por</w:t>
            </w:r>
            <w:proofErr w:type="gramEnd"/>
            <w:r w:rsidRPr="008F5302">
              <w:rPr>
                <w:rFonts w:cs="Arial"/>
                <w:color w:val="000000"/>
                <w:sz w:val="22"/>
                <w:szCs w:val="22"/>
              </w:rPr>
              <w:t xml:space="preserve"> el artículo </w:t>
            </w:r>
            <w:r>
              <w:rPr>
                <w:rFonts w:cs="Arial"/>
                <w:color w:val="000000"/>
                <w:sz w:val="22"/>
                <w:szCs w:val="22"/>
              </w:rPr>
              <w:t>4</w:t>
            </w:r>
            <w:r w:rsidRPr="008F5302">
              <w:rPr>
                <w:rFonts w:cs="Arial"/>
                <w:color w:val="000000"/>
                <w:sz w:val="22"/>
                <w:szCs w:val="22"/>
              </w:rPr>
              <w:t xml:space="preserve"> de la Ley 1948 de 2019.</w:t>
            </w:r>
          </w:p>
          <w:p w14:paraId="44E9DC6A" w14:textId="77777777" w:rsidR="00C273E7" w:rsidRPr="00402BE8" w:rsidRDefault="00C273E7" w:rsidP="00402BE8">
            <w:pPr>
              <w:jc w:val="both"/>
              <w:rPr>
                <w:rFonts w:cs="Arial"/>
                <w:color w:val="000000"/>
                <w:sz w:val="22"/>
                <w:szCs w:val="22"/>
              </w:rPr>
            </w:pPr>
          </w:p>
          <w:p w14:paraId="2BD8A7FF" w14:textId="77777777" w:rsidR="00C273E7" w:rsidRDefault="00C273E7" w:rsidP="00C273E7">
            <w:pPr>
              <w:ind w:left="931"/>
              <w:jc w:val="both"/>
              <w:rPr>
                <w:rFonts w:cs="Arial"/>
                <w:color w:val="000000"/>
                <w:sz w:val="22"/>
                <w:szCs w:val="22"/>
              </w:rPr>
            </w:pPr>
          </w:p>
          <w:p w14:paraId="1785DCE1" w14:textId="2C2D96C8" w:rsidR="00C273E7" w:rsidRDefault="00C273E7" w:rsidP="00C273E7">
            <w:pPr>
              <w:ind w:left="931"/>
              <w:jc w:val="both"/>
              <w:rPr>
                <w:rFonts w:cs="Arial"/>
                <w:color w:val="000000"/>
                <w:sz w:val="22"/>
                <w:szCs w:val="22"/>
              </w:rPr>
            </w:pPr>
            <w:r>
              <w:rPr>
                <w:rFonts w:cs="Arial"/>
                <w:color w:val="000000"/>
                <w:sz w:val="22"/>
                <w:szCs w:val="22"/>
              </w:rPr>
              <w:t xml:space="preserve">Nota 3: Estado de vigencia: Vigente. Fecha de expedición de la norma </w:t>
            </w:r>
            <w:r w:rsidRPr="00C273E7">
              <w:rPr>
                <w:rFonts w:cs="Arial"/>
                <w:color w:val="000000"/>
                <w:sz w:val="22"/>
                <w:szCs w:val="22"/>
                <w:shd w:val="clear" w:color="auto" w:fill="F9F9F9"/>
              </w:rPr>
              <w:t>07/06/2012</w:t>
            </w:r>
            <w:r>
              <w:rPr>
                <w:rFonts w:cs="Arial"/>
                <w:color w:val="000000"/>
                <w:sz w:val="22"/>
                <w:szCs w:val="22"/>
              </w:rPr>
              <w:t xml:space="preserve">. Fecha de publicación de la norma </w:t>
            </w:r>
            <w:r w:rsidRPr="00C273E7">
              <w:rPr>
                <w:rFonts w:cs="Arial"/>
                <w:color w:val="000000"/>
                <w:sz w:val="22"/>
                <w:szCs w:val="22"/>
                <w:shd w:val="clear" w:color="auto" w:fill="F9F9F9"/>
              </w:rPr>
              <w:t>07/06/2012</w:t>
            </w:r>
            <w:r>
              <w:rPr>
                <w:rFonts w:cs="Arial"/>
                <w:color w:val="000000"/>
                <w:sz w:val="22"/>
                <w:szCs w:val="22"/>
                <w:shd w:val="clear" w:color="auto" w:fill="F9F9F9"/>
              </w:rPr>
              <w:t xml:space="preserve"> </w:t>
            </w:r>
            <w:r>
              <w:rPr>
                <w:rFonts w:cs="Arial"/>
                <w:color w:val="000000"/>
                <w:sz w:val="22"/>
                <w:szCs w:val="22"/>
              </w:rPr>
              <w:t xml:space="preserve">Fecha de entrada en vigor de la norma </w:t>
            </w:r>
            <w:r w:rsidRPr="00C273E7">
              <w:rPr>
                <w:rFonts w:cs="Arial"/>
                <w:color w:val="000000"/>
                <w:sz w:val="22"/>
                <w:szCs w:val="22"/>
                <w:shd w:val="clear" w:color="auto" w:fill="F9F9F9"/>
              </w:rPr>
              <w:t>07/06/2012</w:t>
            </w:r>
            <w:r>
              <w:rPr>
                <w:rFonts w:cs="Arial"/>
                <w:color w:val="000000"/>
                <w:sz w:val="22"/>
                <w:szCs w:val="22"/>
              </w:rPr>
              <w:t>.</w:t>
            </w:r>
          </w:p>
          <w:p w14:paraId="103D398B" w14:textId="59E2CC18" w:rsidR="00C273E7" w:rsidRPr="00C273E7" w:rsidRDefault="00C273E7" w:rsidP="00402BE8">
            <w:pPr>
              <w:ind w:left="708"/>
              <w:rPr>
                <w:rFonts w:cs="Arial"/>
                <w:sz w:val="22"/>
                <w:szCs w:val="22"/>
                <w:lang w:val="es-CO" w:eastAsia="es-CO"/>
              </w:rPr>
            </w:pPr>
          </w:p>
          <w:p w14:paraId="5635E2CE" w14:textId="77777777" w:rsidR="00C273E7" w:rsidRDefault="00C273E7" w:rsidP="00C273E7">
            <w:pPr>
              <w:pStyle w:val="Prrafodelista"/>
              <w:numPr>
                <w:ilvl w:val="0"/>
                <w:numId w:val="13"/>
              </w:numPr>
              <w:jc w:val="both"/>
              <w:rPr>
                <w:rFonts w:cs="Arial"/>
                <w:b/>
                <w:bCs/>
                <w:sz w:val="22"/>
                <w:szCs w:val="22"/>
                <w:lang w:val="es-CO" w:eastAsia="es-CO"/>
              </w:rPr>
            </w:pPr>
            <w:r>
              <w:rPr>
                <w:rFonts w:cs="Arial"/>
                <w:b/>
                <w:bCs/>
                <w:sz w:val="22"/>
                <w:szCs w:val="22"/>
                <w:lang w:val="es-CO" w:eastAsia="es-CO"/>
              </w:rPr>
              <w:t xml:space="preserve">Decreto Legislativo 812 de 2020. </w:t>
            </w:r>
          </w:p>
          <w:p w14:paraId="6C4AD662" w14:textId="77777777" w:rsidR="00C273E7" w:rsidRDefault="00C273E7" w:rsidP="00C273E7">
            <w:pPr>
              <w:ind w:left="931"/>
              <w:jc w:val="both"/>
              <w:rPr>
                <w:rFonts w:cs="Arial"/>
                <w:sz w:val="22"/>
                <w:szCs w:val="22"/>
                <w:lang w:val="es-CO" w:eastAsia="es-CO"/>
              </w:rPr>
            </w:pPr>
          </w:p>
          <w:p w14:paraId="0E0F5229" w14:textId="77777777" w:rsidR="00C273E7" w:rsidRDefault="00C273E7" w:rsidP="00C273E7">
            <w:pPr>
              <w:ind w:left="931"/>
              <w:jc w:val="both"/>
              <w:rPr>
                <w:rFonts w:cs="Arial"/>
                <w:sz w:val="22"/>
                <w:szCs w:val="22"/>
                <w:lang w:val="es-CO" w:eastAsia="es-CO"/>
              </w:rPr>
            </w:pPr>
            <w:r>
              <w:rPr>
                <w:rFonts w:cs="Arial"/>
                <w:sz w:val="22"/>
                <w:szCs w:val="22"/>
                <w:lang w:val="es-CO" w:eastAsia="es-CO"/>
              </w:rPr>
              <w:t>Por el cual se crea el Registro Social de Hogares y la Plataforma de Transferencias Monetarias y se dictan otras disposiciones para atender las necesidades de los hogares en situación de pobreza y vulnerabilidad económica en todo el territorio nacional dentro del Estado de Emergencia Económica, Social y Ecológica.</w:t>
            </w:r>
          </w:p>
          <w:p w14:paraId="7CCF9960" w14:textId="77777777" w:rsidR="00C273E7" w:rsidRDefault="00C273E7" w:rsidP="00C273E7">
            <w:pPr>
              <w:pStyle w:val="Prrafodelista"/>
              <w:ind w:left="931"/>
              <w:jc w:val="both"/>
              <w:rPr>
                <w:rFonts w:cs="Arial"/>
                <w:sz w:val="22"/>
                <w:szCs w:val="22"/>
                <w:lang w:val="es-CO" w:eastAsia="es-CO"/>
              </w:rPr>
            </w:pPr>
          </w:p>
          <w:p w14:paraId="433BF7B4" w14:textId="77777777" w:rsidR="00C273E7" w:rsidRDefault="00C273E7" w:rsidP="00C273E7">
            <w:pPr>
              <w:pStyle w:val="Prrafodelista"/>
              <w:ind w:left="1416"/>
              <w:jc w:val="both"/>
              <w:rPr>
                <w:rFonts w:cs="Arial"/>
                <w:i/>
                <w:iCs/>
                <w:sz w:val="22"/>
                <w:szCs w:val="22"/>
                <w:lang w:val="es-CO" w:eastAsia="es-CO"/>
              </w:rPr>
            </w:pPr>
            <w:r>
              <w:rPr>
                <w:rFonts w:cs="Arial"/>
                <w:b/>
                <w:bCs/>
                <w:i/>
                <w:iCs/>
                <w:sz w:val="22"/>
                <w:szCs w:val="22"/>
                <w:lang w:val="es-CO" w:eastAsia="es-CO"/>
              </w:rPr>
              <w:t>“Artículo 5. Transferencias Monetarias. </w:t>
            </w:r>
            <w:r>
              <w:rPr>
                <w:rFonts w:cs="Arial"/>
                <w:i/>
                <w:iCs/>
                <w:sz w:val="22"/>
                <w:szCs w:val="22"/>
                <w:lang w:val="es-CO" w:eastAsia="es-CO"/>
              </w:rPr>
              <w:t>El Departamento Administrativo para la Prosperidad Social será la entidad encargada de la administración y operación de los programas de transferencias monetarias del Gobierno nacional, entendidos estos como los aportes del Estado otorgados, en carácter de subsidios directos y monetarios, a la población en situación de pobreza y de extrema pobreza. </w:t>
            </w:r>
          </w:p>
          <w:p w14:paraId="6E9A89BB" w14:textId="77777777" w:rsidR="00C273E7" w:rsidRDefault="00C273E7" w:rsidP="00C273E7">
            <w:pPr>
              <w:pStyle w:val="Prrafodelista"/>
              <w:ind w:left="1416"/>
              <w:jc w:val="both"/>
              <w:rPr>
                <w:rFonts w:cs="Arial"/>
                <w:i/>
                <w:iCs/>
                <w:sz w:val="22"/>
                <w:szCs w:val="22"/>
                <w:lang w:val="es-CO" w:eastAsia="es-CO"/>
              </w:rPr>
            </w:pPr>
            <w:r>
              <w:rPr>
                <w:rFonts w:cs="Arial"/>
                <w:i/>
                <w:iCs/>
                <w:sz w:val="22"/>
                <w:szCs w:val="22"/>
                <w:lang w:val="es-CO" w:eastAsia="es-CO"/>
              </w:rPr>
              <w:t>  </w:t>
            </w:r>
          </w:p>
          <w:p w14:paraId="39A2C6DE" w14:textId="77777777" w:rsidR="00C273E7" w:rsidRDefault="00C273E7" w:rsidP="00C273E7">
            <w:pPr>
              <w:pStyle w:val="Prrafodelista"/>
              <w:ind w:left="1416"/>
              <w:jc w:val="both"/>
              <w:rPr>
                <w:rFonts w:cs="Arial"/>
                <w:i/>
                <w:iCs/>
                <w:sz w:val="22"/>
                <w:szCs w:val="22"/>
                <w:lang w:val="es-CO" w:eastAsia="es-CO"/>
              </w:rPr>
            </w:pPr>
            <w:r>
              <w:rPr>
                <w:rFonts w:cs="Arial"/>
                <w:i/>
                <w:iCs/>
                <w:sz w:val="22"/>
                <w:szCs w:val="22"/>
                <w:lang w:val="es-CO" w:eastAsia="es-CO"/>
              </w:rPr>
              <w:t>En todo caso, estas ayudas podrán extenderse a población en situación de vulnerabilidad económica, es decir, a población que por su condición de vulnerabilidad y ante cualquier choque adverso tiene una alta probabilidad de caer en condición de pobreza. Para el efecto, el Departamento Administrativo para la Prosperidad Social podrá modificar o fijar nuevos criterios para incluir a esta población como beneficiaria del respectivo programa de trasferencias monetarias. </w:t>
            </w:r>
          </w:p>
          <w:p w14:paraId="34B3F6E9" w14:textId="77777777" w:rsidR="00C273E7" w:rsidRDefault="00C273E7" w:rsidP="00C273E7">
            <w:pPr>
              <w:pStyle w:val="Prrafodelista"/>
              <w:ind w:left="1416"/>
              <w:jc w:val="both"/>
              <w:rPr>
                <w:rFonts w:cs="Arial"/>
                <w:i/>
                <w:iCs/>
                <w:sz w:val="22"/>
                <w:szCs w:val="22"/>
                <w:lang w:val="es-CO" w:eastAsia="es-CO"/>
              </w:rPr>
            </w:pPr>
            <w:r>
              <w:rPr>
                <w:rFonts w:cs="Arial"/>
                <w:i/>
                <w:iCs/>
                <w:sz w:val="22"/>
                <w:szCs w:val="22"/>
                <w:lang w:val="es-CO" w:eastAsia="es-CO"/>
              </w:rPr>
              <w:t>  </w:t>
            </w:r>
          </w:p>
          <w:p w14:paraId="77140E53" w14:textId="77777777" w:rsidR="00C273E7" w:rsidRDefault="00C273E7" w:rsidP="00C273E7">
            <w:pPr>
              <w:pStyle w:val="Prrafodelista"/>
              <w:ind w:left="1416"/>
              <w:jc w:val="both"/>
              <w:rPr>
                <w:rFonts w:cs="Arial"/>
                <w:i/>
                <w:iCs/>
                <w:sz w:val="22"/>
                <w:szCs w:val="22"/>
                <w:lang w:val="es-CO" w:eastAsia="es-CO"/>
              </w:rPr>
            </w:pPr>
            <w:r>
              <w:rPr>
                <w:rFonts w:cs="Arial"/>
                <w:b/>
                <w:bCs/>
                <w:i/>
                <w:iCs/>
                <w:sz w:val="22"/>
                <w:szCs w:val="22"/>
                <w:lang w:val="es-CO" w:eastAsia="es-CO"/>
              </w:rPr>
              <w:t>Parágrafo 1</w:t>
            </w:r>
            <w:r>
              <w:rPr>
                <w:rFonts w:cs="Arial"/>
                <w:i/>
                <w:iCs/>
                <w:sz w:val="22"/>
                <w:szCs w:val="22"/>
                <w:lang w:val="es-CO" w:eastAsia="es-CO"/>
              </w:rPr>
              <w:t>. Para la expansión de los programas de transferencias monetarias se tomará al hogar como unidad de intervención, buscando generar complementariedades y priorizar hogares que no estén recibiendo dichas ayudas. </w:t>
            </w:r>
          </w:p>
          <w:p w14:paraId="57768382" w14:textId="77777777" w:rsidR="00C273E7" w:rsidRDefault="00C273E7" w:rsidP="00C273E7">
            <w:pPr>
              <w:pStyle w:val="Prrafodelista"/>
              <w:ind w:left="1416"/>
              <w:jc w:val="both"/>
              <w:rPr>
                <w:rFonts w:cs="Arial"/>
                <w:i/>
                <w:iCs/>
                <w:sz w:val="22"/>
                <w:szCs w:val="22"/>
                <w:lang w:val="es-CO" w:eastAsia="es-CO"/>
              </w:rPr>
            </w:pPr>
            <w:r>
              <w:rPr>
                <w:rFonts w:cs="Arial"/>
                <w:i/>
                <w:iCs/>
                <w:sz w:val="22"/>
                <w:szCs w:val="22"/>
                <w:lang w:val="es-CO" w:eastAsia="es-CO"/>
              </w:rPr>
              <w:t>  </w:t>
            </w:r>
          </w:p>
          <w:p w14:paraId="789FE7B7" w14:textId="77777777" w:rsidR="00C273E7" w:rsidRDefault="00C273E7" w:rsidP="00C273E7">
            <w:pPr>
              <w:pStyle w:val="Prrafodelista"/>
              <w:ind w:left="1416"/>
              <w:jc w:val="both"/>
              <w:rPr>
                <w:rFonts w:cs="Arial"/>
                <w:i/>
                <w:iCs/>
                <w:sz w:val="22"/>
                <w:szCs w:val="22"/>
                <w:lang w:val="es-CO" w:eastAsia="es-CO"/>
              </w:rPr>
            </w:pPr>
            <w:r>
              <w:rPr>
                <w:rFonts w:cs="Arial"/>
                <w:b/>
                <w:bCs/>
                <w:i/>
                <w:iCs/>
                <w:sz w:val="22"/>
                <w:szCs w:val="22"/>
                <w:lang w:val="es-CO" w:eastAsia="es-CO"/>
              </w:rPr>
              <w:t>Parágrafo 2.</w:t>
            </w:r>
            <w:r>
              <w:rPr>
                <w:rFonts w:cs="Arial"/>
                <w:i/>
                <w:iCs/>
                <w:sz w:val="22"/>
                <w:szCs w:val="22"/>
                <w:lang w:val="es-CO" w:eastAsia="es-CO"/>
              </w:rPr>
              <w:t xml:space="preserve"> A partir de la entrada en vigencia del presente Decreto Legislativo, el Programa de Protección Social al Adulto Mayor -Colombia Mayor- y la compensación del impuesto sobre las ventas -IVA serán ejecutados por el Departamento Administrativo para la Prosperidad Social. Los contratos de encargo fiduciarios que hubiese suscrito el Ministerio del Trabajo para la operación del Programa de Protección Social al Adulto Mayor-Colombia Mayor y de la </w:t>
            </w:r>
            <w:r>
              <w:rPr>
                <w:rFonts w:cs="Arial"/>
                <w:i/>
                <w:iCs/>
                <w:sz w:val="22"/>
                <w:szCs w:val="22"/>
                <w:lang w:val="es-CO" w:eastAsia="es-CO"/>
              </w:rPr>
              <w:lastRenderedPageBreak/>
              <w:t>compensación del impuesto sobre las ventas -IVA que estén en ejecución podrán ser cedidos al Departamento Administrativo para la Prosperidad Social. </w:t>
            </w:r>
          </w:p>
          <w:p w14:paraId="2989615A" w14:textId="77777777" w:rsidR="00C273E7" w:rsidRDefault="00C273E7" w:rsidP="00C273E7">
            <w:pPr>
              <w:pStyle w:val="Prrafodelista"/>
              <w:ind w:left="1416"/>
              <w:jc w:val="both"/>
              <w:rPr>
                <w:rFonts w:cs="Arial"/>
                <w:i/>
                <w:iCs/>
                <w:sz w:val="22"/>
                <w:szCs w:val="22"/>
                <w:lang w:val="es-CO" w:eastAsia="es-CO"/>
              </w:rPr>
            </w:pPr>
            <w:r>
              <w:rPr>
                <w:rFonts w:cs="Arial"/>
                <w:i/>
                <w:iCs/>
                <w:sz w:val="22"/>
                <w:szCs w:val="22"/>
                <w:lang w:val="es-CO" w:eastAsia="es-CO"/>
              </w:rPr>
              <w:t>  </w:t>
            </w:r>
          </w:p>
          <w:p w14:paraId="16687591" w14:textId="49FFE13E" w:rsidR="00C273E7" w:rsidRDefault="00C273E7" w:rsidP="00C273E7">
            <w:pPr>
              <w:pStyle w:val="Prrafodelista"/>
              <w:ind w:left="1416"/>
              <w:jc w:val="both"/>
              <w:rPr>
                <w:rFonts w:cs="Arial"/>
                <w:i/>
                <w:iCs/>
                <w:sz w:val="22"/>
                <w:szCs w:val="22"/>
                <w:lang w:val="es-CO" w:eastAsia="es-CO"/>
              </w:rPr>
            </w:pPr>
            <w:r>
              <w:rPr>
                <w:rFonts w:cs="Arial"/>
                <w:b/>
                <w:bCs/>
                <w:i/>
                <w:iCs/>
                <w:sz w:val="22"/>
                <w:szCs w:val="22"/>
                <w:lang w:val="es-CO" w:eastAsia="es-CO"/>
              </w:rPr>
              <w:t>Parágrafo 3.</w:t>
            </w:r>
            <w:r>
              <w:rPr>
                <w:rFonts w:cs="Arial"/>
                <w:i/>
                <w:iCs/>
                <w:sz w:val="22"/>
                <w:szCs w:val="22"/>
                <w:lang w:val="es-CO" w:eastAsia="es-CO"/>
              </w:rPr>
              <w:t>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 En todo caso este proceso de entrega se realizará máximo en el transcurso del mes siguiente contado a partir de la entrada en vigencia del presente Decreto”. </w:t>
            </w:r>
          </w:p>
          <w:p w14:paraId="7870F6DD" w14:textId="20BB7958" w:rsidR="00C273E7" w:rsidRDefault="00C273E7" w:rsidP="00C273E7">
            <w:pPr>
              <w:pStyle w:val="Prrafodelista"/>
              <w:ind w:left="1416"/>
              <w:jc w:val="both"/>
              <w:rPr>
                <w:rFonts w:cs="Arial"/>
                <w:i/>
                <w:iCs/>
                <w:sz w:val="22"/>
                <w:szCs w:val="22"/>
                <w:lang w:val="es-CO" w:eastAsia="es-CO"/>
              </w:rPr>
            </w:pPr>
          </w:p>
          <w:p w14:paraId="2E3E2522" w14:textId="77777777" w:rsidR="00C273E7" w:rsidRPr="00C273E7" w:rsidRDefault="00C273E7" w:rsidP="00C273E7">
            <w:pPr>
              <w:pStyle w:val="Prrafodelista"/>
              <w:ind w:left="1416"/>
              <w:rPr>
                <w:rFonts w:cs="Arial"/>
                <w:i/>
                <w:iCs/>
                <w:sz w:val="22"/>
                <w:szCs w:val="22"/>
                <w:lang w:val="es-CO" w:eastAsia="es-CO"/>
              </w:rPr>
            </w:pPr>
            <w:r w:rsidRPr="00C273E7">
              <w:rPr>
                <w:rFonts w:cs="Arial"/>
                <w:b/>
                <w:bCs/>
                <w:i/>
                <w:iCs/>
                <w:sz w:val="22"/>
                <w:szCs w:val="22"/>
                <w:lang w:val="es-CO" w:eastAsia="es-CO"/>
              </w:rPr>
              <w:t>Artículo 6. Condiciones de inclusión, permanencia y exclusión de programas sociales. </w:t>
            </w:r>
            <w:r w:rsidRPr="00C273E7">
              <w:rPr>
                <w:rFonts w:cs="Arial"/>
                <w:i/>
                <w:iCs/>
                <w:sz w:val="22"/>
                <w:szCs w:val="22"/>
                <w:lang w:val="es-CO" w:eastAsia="es-CO"/>
              </w:rPr>
              <w:t>Los programas sociales deberán establecer criterios de inclusión, permanencia y exclusión de beneficiarios, que serán medibles a través del Registro Social de Hogares y de los instrumentos complementarios que para el efecto defina el Departamento Nacional de Planeación. </w:t>
            </w:r>
          </w:p>
          <w:p w14:paraId="532ADE96" w14:textId="77777777" w:rsidR="00C273E7" w:rsidRDefault="00C273E7" w:rsidP="00C273E7">
            <w:pPr>
              <w:pStyle w:val="Prrafodelista"/>
              <w:ind w:left="1416"/>
              <w:jc w:val="both"/>
              <w:rPr>
                <w:rFonts w:cs="Arial"/>
                <w:i/>
                <w:iCs/>
                <w:sz w:val="22"/>
                <w:szCs w:val="22"/>
                <w:lang w:val="es-CO" w:eastAsia="es-CO"/>
              </w:rPr>
            </w:pPr>
          </w:p>
          <w:p w14:paraId="4072F42C" w14:textId="77777777" w:rsidR="00C273E7" w:rsidRDefault="00C273E7" w:rsidP="00C273E7">
            <w:pPr>
              <w:pStyle w:val="Prrafodelista"/>
              <w:ind w:left="931"/>
              <w:jc w:val="both"/>
              <w:rPr>
                <w:rFonts w:cs="Arial"/>
                <w:sz w:val="22"/>
                <w:szCs w:val="22"/>
                <w:lang w:val="es-CO" w:eastAsia="es-CO"/>
              </w:rPr>
            </w:pPr>
          </w:p>
          <w:p w14:paraId="150E142E" w14:textId="77777777" w:rsidR="00C273E7" w:rsidRDefault="00C273E7" w:rsidP="00C273E7">
            <w:pPr>
              <w:ind w:left="931"/>
              <w:jc w:val="both"/>
              <w:rPr>
                <w:rFonts w:cs="Arial"/>
                <w:sz w:val="22"/>
                <w:szCs w:val="22"/>
                <w:lang w:val="es-CO" w:eastAsia="es-CO"/>
              </w:rPr>
            </w:pPr>
            <w:r>
              <w:rPr>
                <w:rFonts w:cs="Arial"/>
                <w:sz w:val="22"/>
                <w:szCs w:val="22"/>
                <w:lang w:val="es-CO" w:eastAsia="es-CO"/>
              </w:rPr>
              <w:t xml:space="preserve">Nota 1: Publicado en el Diario Oficial. Año CLVI. N. 51335, 4 junio, 2020. pág. 11. </w:t>
            </w:r>
          </w:p>
          <w:p w14:paraId="5828D42B" w14:textId="77777777" w:rsidR="00C273E7" w:rsidRDefault="00C273E7" w:rsidP="00C273E7">
            <w:pPr>
              <w:ind w:left="931"/>
              <w:jc w:val="both"/>
              <w:rPr>
                <w:rFonts w:cs="Arial"/>
                <w:sz w:val="22"/>
                <w:szCs w:val="22"/>
                <w:lang w:val="es-CO" w:eastAsia="es-CO"/>
              </w:rPr>
            </w:pPr>
          </w:p>
          <w:p w14:paraId="31605CF3" w14:textId="77777777" w:rsidR="00C273E7" w:rsidRDefault="00C273E7" w:rsidP="00C273E7">
            <w:pPr>
              <w:ind w:left="931"/>
              <w:jc w:val="both"/>
              <w:rPr>
                <w:rFonts w:cs="Arial"/>
                <w:sz w:val="22"/>
                <w:szCs w:val="22"/>
                <w:lang w:val="es-CO" w:eastAsia="es-CO"/>
              </w:rPr>
            </w:pPr>
            <w:r>
              <w:rPr>
                <w:rFonts w:cs="Arial"/>
                <w:sz w:val="22"/>
                <w:szCs w:val="22"/>
                <w:lang w:val="es-CO" w:eastAsia="es-CO"/>
              </w:rPr>
              <w:t xml:space="preserve">Nota 2: Estado de Vigencia de la Norma: Vigente. Fecha de expedición de la norma: 04/06/2020. </w:t>
            </w:r>
          </w:p>
          <w:p w14:paraId="58DA9C42" w14:textId="77777777" w:rsidR="00C273E7" w:rsidRDefault="00C273E7" w:rsidP="00C273E7">
            <w:pPr>
              <w:ind w:left="931"/>
              <w:jc w:val="both"/>
              <w:rPr>
                <w:rFonts w:cs="Arial"/>
                <w:sz w:val="22"/>
                <w:szCs w:val="22"/>
                <w:lang w:val="es-CO" w:eastAsia="es-CO"/>
              </w:rPr>
            </w:pPr>
            <w:r>
              <w:rPr>
                <w:rFonts w:cs="Arial"/>
                <w:sz w:val="22"/>
                <w:szCs w:val="22"/>
                <w:lang w:val="es-CO" w:eastAsia="es-CO"/>
              </w:rPr>
              <w:t>Fecha de publicación de la norma: 04/06/2020. Fecha de entrada en vigencia de la norma: 04/06/2020</w:t>
            </w:r>
          </w:p>
          <w:p w14:paraId="55A982D7" w14:textId="77777777" w:rsidR="00C273E7" w:rsidRDefault="00C273E7" w:rsidP="00C273E7">
            <w:pPr>
              <w:ind w:left="931"/>
              <w:jc w:val="both"/>
              <w:rPr>
                <w:rFonts w:cs="Arial"/>
                <w:sz w:val="22"/>
                <w:szCs w:val="22"/>
                <w:lang w:val="es-CO" w:eastAsia="es-CO"/>
              </w:rPr>
            </w:pPr>
          </w:p>
          <w:p w14:paraId="630D5D67" w14:textId="77777777" w:rsidR="00C273E7" w:rsidRDefault="00C273E7" w:rsidP="00C273E7">
            <w:pPr>
              <w:ind w:left="931"/>
              <w:jc w:val="both"/>
              <w:rPr>
                <w:rFonts w:cs="Arial"/>
                <w:sz w:val="22"/>
                <w:szCs w:val="22"/>
                <w:lang w:val="es-CO" w:eastAsia="es-CO"/>
              </w:rPr>
            </w:pPr>
            <w:r>
              <w:rPr>
                <w:rFonts w:cs="Arial"/>
                <w:sz w:val="22"/>
                <w:szCs w:val="22"/>
                <w:lang w:val="es-CO" w:eastAsia="es-CO"/>
              </w:rPr>
              <w:t>Nota 3: Declarado exequible Sentencia de la Corte Constitucional C-382 de 2020.</w:t>
            </w:r>
          </w:p>
          <w:p w14:paraId="12C51675" w14:textId="77777777" w:rsidR="00C273E7" w:rsidRDefault="00C273E7" w:rsidP="00C273E7">
            <w:pPr>
              <w:ind w:left="931"/>
              <w:jc w:val="both"/>
              <w:rPr>
                <w:rFonts w:cs="Arial"/>
                <w:sz w:val="22"/>
                <w:szCs w:val="22"/>
                <w:lang w:val="es-CO" w:eastAsia="es-CO"/>
              </w:rPr>
            </w:pPr>
          </w:p>
          <w:p w14:paraId="23F6B09F" w14:textId="77777777" w:rsidR="00C273E7" w:rsidRPr="00402BE8" w:rsidRDefault="00C273E7" w:rsidP="00402BE8">
            <w:pPr>
              <w:jc w:val="both"/>
              <w:rPr>
                <w:rFonts w:cs="Arial"/>
                <w:sz w:val="22"/>
                <w:szCs w:val="22"/>
                <w:lang w:val="es-CO" w:eastAsia="es-CO"/>
              </w:rPr>
            </w:pPr>
          </w:p>
          <w:p w14:paraId="48B78E19" w14:textId="77777777" w:rsidR="00C273E7" w:rsidRDefault="00C273E7" w:rsidP="00C273E7">
            <w:pPr>
              <w:pStyle w:val="Prrafodelista"/>
              <w:numPr>
                <w:ilvl w:val="0"/>
                <w:numId w:val="13"/>
              </w:numPr>
              <w:jc w:val="both"/>
              <w:rPr>
                <w:rFonts w:cs="Arial"/>
                <w:b/>
                <w:bCs/>
                <w:sz w:val="22"/>
                <w:szCs w:val="22"/>
                <w:lang w:val="es-CO" w:eastAsia="es-CO"/>
              </w:rPr>
            </w:pPr>
            <w:r>
              <w:rPr>
                <w:rFonts w:cs="Arial"/>
                <w:b/>
                <w:bCs/>
                <w:sz w:val="22"/>
                <w:szCs w:val="22"/>
                <w:lang w:val="es-CO" w:eastAsia="es-CO"/>
              </w:rPr>
              <w:t>Decreto 2094 de 2016</w:t>
            </w:r>
          </w:p>
          <w:p w14:paraId="44D33477" w14:textId="77777777" w:rsidR="00C273E7" w:rsidRDefault="00C273E7" w:rsidP="00C273E7">
            <w:pPr>
              <w:pStyle w:val="Prrafodelista"/>
              <w:ind w:left="931"/>
              <w:jc w:val="both"/>
              <w:rPr>
                <w:rFonts w:cs="Arial"/>
                <w:color w:val="000000"/>
                <w:sz w:val="22"/>
                <w:szCs w:val="22"/>
              </w:rPr>
            </w:pPr>
            <w:r>
              <w:rPr>
                <w:rFonts w:cs="Arial"/>
                <w:color w:val="000000"/>
                <w:sz w:val="22"/>
                <w:szCs w:val="22"/>
              </w:rPr>
              <w:t>Por el cual se modifica la estructura del Departamento Administrativo para la Prosperidad Social - Prosperidad Social.</w:t>
            </w:r>
          </w:p>
          <w:p w14:paraId="75909BD5" w14:textId="77777777" w:rsidR="00C273E7" w:rsidRDefault="00C273E7" w:rsidP="00C273E7">
            <w:pPr>
              <w:pStyle w:val="Prrafodelista"/>
              <w:ind w:left="931"/>
              <w:jc w:val="both"/>
              <w:rPr>
                <w:rFonts w:cs="Arial"/>
                <w:sz w:val="22"/>
                <w:szCs w:val="22"/>
                <w:lang w:val="es-CO" w:eastAsia="es-CO"/>
              </w:rPr>
            </w:pPr>
          </w:p>
          <w:p w14:paraId="47B73C14" w14:textId="77777777" w:rsidR="00C273E7" w:rsidRDefault="00C273E7" w:rsidP="00C273E7">
            <w:pPr>
              <w:pStyle w:val="Prrafodelista"/>
              <w:ind w:left="931"/>
              <w:jc w:val="both"/>
              <w:rPr>
                <w:rFonts w:cs="Arial"/>
                <w:sz w:val="22"/>
                <w:szCs w:val="22"/>
                <w:lang w:val="es-CO" w:eastAsia="es-CO"/>
              </w:rPr>
            </w:pPr>
          </w:p>
          <w:p w14:paraId="5B88B54A" w14:textId="77777777" w:rsidR="00C273E7" w:rsidRDefault="00C273E7" w:rsidP="00C273E7">
            <w:pPr>
              <w:pStyle w:val="Prrafodelista"/>
              <w:ind w:left="931"/>
              <w:jc w:val="both"/>
              <w:rPr>
                <w:rFonts w:cs="Arial"/>
                <w:sz w:val="22"/>
                <w:szCs w:val="22"/>
                <w:lang w:val="es-CO" w:eastAsia="es-CO"/>
              </w:rPr>
            </w:pPr>
            <w:r>
              <w:rPr>
                <w:rFonts w:cs="Arial"/>
                <w:b/>
                <w:bCs/>
                <w:sz w:val="22"/>
                <w:szCs w:val="22"/>
                <w:lang w:val="es-CO" w:eastAsia="es-CO"/>
              </w:rPr>
              <w:t>Artículo 10.</w:t>
            </w:r>
            <w:r>
              <w:rPr>
                <w:rFonts w:cs="Arial"/>
                <w:sz w:val="22"/>
                <w:szCs w:val="22"/>
                <w:lang w:val="es-CO" w:eastAsia="es-CO"/>
              </w:rPr>
              <w:t> Despacho del Director del Departamento. Son funciones del Director del Departamento, además de las previstas en los artículos 61 y 65 de la Ley 489 de 1998, las siguientes: </w:t>
            </w:r>
          </w:p>
          <w:p w14:paraId="269FB28C"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  </w:t>
            </w:r>
          </w:p>
          <w:p w14:paraId="57917675"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1. Formular las políticas en los temas de competencia del Departamento, bajo la dirección del Presidente de la República. </w:t>
            </w:r>
          </w:p>
          <w:p w14:paraId="027A38EE"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2. Formular y hacer seguimiento a las políticas, planes, programas y proyectos del Sector Administrativo de Inclusión Social y Reconciliación. </w:t>
            </w:r>
          </w:p>
          <w:p w14:paraId="25E6AE72"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3. Ejercer la representación legal del Departamento. </w:t>
            </w:r>
          </w:p>
          <w:p w14:paraId="1DBF16CC"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4. Coordinar el desarrollo de la política que en materia de inclusión social y reconciliación fije el Gobierno nacional. </w:t>
            </w:r>
          </w:p>
          <w:p w14:paraId="46DA503F"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5. Direccionar y articular la oferta social del Estado para el desarrollo de la política de inclusión social y reconciliación en el marco de las competencias de la superación de la pobreza y pobreza extrema, la atención de grupos vulnerables, la atención integral a la primera infancia, infancia y adolescencia y la atención y reparación a víctimas del conflicto armado. </w:t>
            </w:r>
          </w:p>
          <w:p w14:paraId="40456D4F"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6. Impartir las directrices para articular la gestión del Departamento y de las entidades del Sector Administrativo de Inclusión Social y Reconciliación, para la prestación de los servicios a cargo de este. </w:t>
            </w:r>
          </w:p>
          <w:p w14:paraId="427F432B"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lastRenderedPageBreak/>
              <w:t>7. Orientar y articular las estrategias tendientes a promover el fortalecimiento institucional de los diferentes actores locales públicos, privados y/o comunitarios, para la implementación de las políticas, planes, programas y proyectos a cargo del Sector de Inclusión Social y Reconciliación. </w:t>
            </w:r>
          </w:p>
          <w:p w14:paraId="2740AFCD"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  </w:t>
            </w:r>
          </w:p>
          <w:p w14:paraId="77A50384"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w:t>
            </w:r>
          </w:p>
          <w:p w14:paraId="1084DA10"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9. Impartir directrices para la coordinación de las actividades del Departamento, en lo relacionado con sus objetivos y funciones, con las entidades públicas del orden nacional, del sector central y del descentralizado, los entes territoriales y sus entidades adscritas y vinculadas. </w:t>
            </w:r>
          </w:p>
          <w:p w14:paraId="53AE5C12"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w:t>
            </w:r>
          </w:p>
          <w:p w14:paraId="630F0A95" w14:textId="77777777" w:rsidR="00C273E7" w:rsidRDefault="00C273E7" w:rsidP="00C273E7">
            <w:pPr>
              <w:pStyle w:val="Prrafodelista"/>
              <w:ind w:left="931"/>
              <w:jc w:val="both"/>
              <w:rPr>
                <w:rFonts w:cs="Arial"/>
                <w:sz w:val="22"/>
                <w:szCs w:val="22"/>
                <w:lang w:val="es-CO" w:eastAsia="es-CO"/>
              </w:rPr>
            </w:pPr>
            <w:r>
              <w:rPr>
                <w:rFonts w:cs="Arial"/>
                <w:sz w:val="22"/>
                <w:szCs w:val="22"/>
                <w:lang w:val="es-CO" w:eastAsia="es-CO"/>
              </w:rPr>
              <w:t>19. Ejercer las funciones que el Presidente de la República le delegue o la ley le confiera y vigilar el cumplimiento de las que por mandato legal se hayan otorgado al Departamento Administrativo, así como las que hayan delegado en servidores del mismo. </w:t>
            </w:r>
          </w:p>
          <w:p w14:paraId="5315F37C" w14:textId="77777777" w:rsidR="00C273E7" w:rsidRDefault="00C273E7" w:rsidP="00C273E7">
            <w:pPr>
              <w:pStyle w:val="Prrafodelista"/>
              <w:ind w:left="931"/>
              <w:jc w:val="both"/>
              <w:rPr>
                <w:rFonts w:cs="Arial"/>
                <w:sz w:val="22"/>
                <w:szCs w:val="22"/>
                <w:lang w:val="es-CO" w:eastAsia="es-CO"/>
              </w:rPr>
            </w:pPr>
          </w:p>
          <w:p w14:paraId="0C2AB178" w14:textId="77777777" w:rsidR="00C273E7" w:rsidRDefault="00C273E7" w:rsidP="00C273E7">
            <w:pPr>
              <w:ind w:left="931"/>
              <w:jc w:val="both"/>
              <w:rPr>
                <w:rFonts w:cs="Arial"/>
                <w:color w:val="000000"/>
                <w:sz w:val="22"/>
                <w:szCs w:val="22"/>
              </w:rPr>
            </w:pPr>
            <w:r>
              <w:rPr>
                <w:rFonts w:cs="Arial"/>
                <w:b/>
                <w:bCs/>
                <w:sz w:val="22"/>
                <w:szCs w:val="22"/>
                <w:lang w:val="es-CO" w:eastAsia="es-CO"/>
              </w:rPr>
              <w:t>Nota 1:</w:t>
            </w:r>
            <w:r>
              <w:rPr>
                <w:rFonts w:cs="Arial"/>
                <w:sz w:val="22"/>
                <w:szCs w:val="22"/>
                <w:lang w:val="es-CO" w:eastAsia="es-CO"/>
              </w:rPr>
              <w:t xml:space="preserve"> Publicada en el </w:t>
            </w:r>
            <w:r>
              <w:rPr>
                <w:rFonts w:cs="Arial"/>
                <w:color w:val="000000"/>
                <w:sz w:val="22"/>
                <w:szCs w:val="22"/>
              </w:rPr>
              <w:t xml:space="preserve">Diario Oficial. año </w:t>
            </w:r>
            <w:proofErr w:type="spellStart"/>
            <w:r>
              <w:rPr>
                <w:rFonts w:cs="Arial"/>
                <w:color w:val="000000"/>
                <w:sz w:val="22"/>
                <w:szCs w:val="22"/>
              </w:rPr>
              <w:t>clii</w:t>
            </w:r>
            <w:proofErr w:type="spellEnd"/>
            <w:r>
              <w:rPr>
                <w:rFonts w:cs="Arial"/>
                <w:color w:val="000000"/>
                <w:sz w:val="22"/>
                <w:szCs w:val="22"/>
              </w:rPr>
              <w:t xml:space="preserve">. n. 50095. 22 diciembre, 2016. </w:t>
            </w:r>
            <w:proofErr w:type="spellStart"/>
            <w:r>
              <w:rPr>
                <w:rFonts w:cs="Arial"/>
                <w:color w:val="000000"/>
                <w:sz w:val="22"/>
                <w:szCs w:val="22"/>
              </w:rPr>
              <w:t>pag.</w:t>
            </w:r>
            <w:proofErr w:type="spellEnd"/>
            <w:r>
              <w:rPr>
                <w:rFonts w:cs="Arial"/>
                <w:color w:val="000000"/>
                <w:sz w:val="22"/>
                <w:szCs w:val="22"/>
              </w:rPr>
              <w:t xml:space="preserve"> 661. </w:t>
            </w:r>
          </w:p>
          <w:p w14:paraId="5CE6FEC4" w14:textId="77777777" w:rsidR="00C273E7" w:rsidRDefault="00C273E7" w:rsidP="00C273E7">
            <w:pPr>
              <w:ind w:left="931"/>
              <w:jc w:val="both"/>
              <w:rPr>
                <w:rFonts w:cs="Arial"/>
                <w:color w:val="000000"/>
                <w:sz w:val="22"/>
                <w:szCs w:val="22"/>
              </w:rPr>
            </w:pPr>
          </w:p>
          <w:p w14:paraId="24C88B8F" w14:textId="77777777" w:rsidR="00C273E7" w:rsidRDefault="00C273E7" w:rsidP="00C273E7">
            <w:pPr>
              <w:ind w:left="931"/>
              <w:jc w:val="both"/>
              <w:rPr>
                <w:rFonts w:cs="Arial"/>
                <w:color w:val="000000"/>
                <w:sz w:val="22"/>
                <w:szCs w:val="22"/>
              </w:rPr>
            </w:pPr>
            <w:r>
              <w:rPr>
                <w:rFonts w:cs="Arial"/>
                <w:b/>
                <w:bCs/>
                <w:color w:val="000000"/>
                <w:sz w:val="22"/>
                <w:szCs w:val="22"/>
              </w:rPr>
              <w:t>Nota 2:</w:t>
            </w:r>
            <w:r>
              <w:rPr>
                <w:rFonts w:cs="Arial"/>
                <w:color w:val="000000"/>
                <w:sz w:val="22"/>
                <w:szCs w:val="22"/>
              </w:rPr>
              <w:t xml:space="preserve"> Estado de vigencia: Vigente. Fecha de expedición de la norma 22/12/2016. Fecha de publicación de la norma 22/12/2016 Fecha de entrada en vigor de la norma 22/12/2016.</w:t>
            </w:r>
          </w:p>
          <w:p w14:paraId="774E68E7" w14:textId="161B702A" w:rsidR="00C273E7" w:rsidRDefault="00C273E7" w:rsidP="00825EB0">
            <w:pPr>
              <w:ind w:left="494" w:hanging="283"/>
              <w:jc w:val="both"/>
              <w:rPr>
                <w:rFonts w:cs="Arial"/>
                <w:sz w:val="22"/>
                <w:szCs w:val="22"/>
                <w:lang w:val="es-CO" w:eastAsia="es-CO"/>
              </w:rPr>
            </w:pPr>
          </w:p>
          <w:p w14:paraId="34B8BEEE" w14:textId="77777777" w:rsidR="00D07D9D" w:rsidRPr="00D07D9D" w:rsidRDefault="00D07D9D" w:rsidP="00D07D9D">
            <w:pPr>
              <w:ind w:left="931"/>
              <w:jc w:val="both"/>
              <w:rPr>
                <w:rFonts w:cs="Arial"/>
                <w:sz w:val="22"/>
                <w:szCs w:val="22"/>
                <w:lang w:val="es-CO" w:eastAsia="es-CO"/>
              </w:rPr>
            </w:pPr>
          </w:p>
          <w:p w14:paraId="4AFE2A88" w14:textId="77777777" w:rsidR="00825EB0" w:rsidRDefault="00825EB0" w:rsidP="00825EB0">
            <w:pPr>
              <w:ind w:left="494" w:hanging="283"/>
              <w:jc w:val="both"/>
              <w:rPr>
                <w:rFonts w:cs="Arial"/>
                <w:sz w:val="22"/>
                <w:szCs w:val="22"/>
                <w:lang w:val="es-CO" w:eastAsia="es-CO"/>
              </w:rPr>
            </w:pPr>
            <w:r>
              <w:rPr>
                <w:rFonts w:cs="Arial"/>
                <w:sz w:val="22"/>
                <w:szCs w:val="22"/>
                <w:lang w:val="es-CO" w:eastAsia="es-CO"/>
              </w:rPr>
              <w:t>3.2 Vigencia de la ley o norma reglamentada o desarrollada</w:t>
            </w:r>
          </w:p>
          <w:p w14:paraId="13B28D5C" w14:textId="77777777" w:rsidR="00825EB0" w:rsidRDefault="00825EB0" w:rsidP="00825EB0">
            <w:pPr>
              <w:jc w:val="both"/>
              <w:rPr>
                <w:rFonts w:cs="Arial"/>
                <w:sz w:val="22"/>
                <w:szCs w:val="22"/>
                <w:lang w:val="es-CO" w:eastAsia="es-CO"/>
              </w:rPr>
            </w:pPr>
          </w:p>
          <w:p w14:paraId="5F8A812C" w14:textId="04225AAF" w:rsidR="001D4B20" w:rsidRPr="00402BE8" w:rsidRDefault="001D4B20" w:rsidP="001D4B20">
            <w:pPr>
              <w:pStyle w:val="Prrafodelista"/>
              <w:numPr>
                <w:ilvl w:val="0"/>
                <w:numId w:val="13"/>
              </w:numPr>
              <w:jc w:val="both"/>
              <w:rPr>
                <w:rFonts w:cs="Arial"/>
                <w:sz w:val="22"/>
                <w:szCs w:val="22"/>
                <w:lang w:val="es-CO" w:eastAsia="es-CO"/>
              </w:rPr>
            </w:pPr>
            <w:r>
              <w:rPr>
                <w:rFonts w:cs="Arial"/>
                <w:bCs/>
                <w:sz w:val="22"/>
                <w:szCs w:val="22"/>
                <w:lang w:val="es-ES_tradnl" w:eastAsia="es-CO"/>
              </w:rPr>
              <w:t>L</w:t>
            </w:r>
            <w:r w:rsidRPr="001D4B20">
              <w:rPr>
                <w:rFonts w:cs="Arial"/>
                <w:bCs/>
                <w:sz w:val="22"/>
                <w:szCs w:val="22"/>
                <w:lang w:val="es-ES_tradnl" w:eastAsia="es-CO"/>
              </w:rPr>
              <w:t>os artículos 13, 334 y 366 de la Constitución Política</w:t>
            </w:r>
            <w:r>
              <w:rPr>
                <w:rFonts w:cs="Arial"/>
                <w:bCs/>
                <w:sz w:val="22"/>
                <w:szCs w:val="22"/>
                <w:lang w:val="es-ES_tradnl" w:eastAsia="es-CO"/>
              </w:rPr>
              <w:t>, los cuales se encuentran vigentes.</w:t>
            </w:r>
          </w:p>
          <w:p w14:paraId="34FDAF03" w14:textId="667F8587" w:rsidR="001D4B20" w:rsidRPr="00402BE8" w:rsidRDefault="001D4B20" w:rsidP="001D4B20">
            <w:pPr>
              <w:pStyle w:val="Prrafodelista"/>
              <w:numPr>
                <w:ilvl w:val="0"/>
                <w:numId w:val="13"/>
              </w:numPr>
              <w:jc w:val="both"/>
              <w:rPr>
                <w:rFonts w:cs="Arial"/>
                <w:sz w:val="22"/>
                <w:szCs w:val="22"/>
                <w:lang w:val="es-CO" w:eastAsia="es-CO"/>
              </w:rPr>
            </w:pPr>
            <w:r>
              <w:rPr>
                <w:rFonts w:cs="Arial"/>
                <w:sz w:val="22"/>
                <w:szCs w:val="22"/>
                <w:lang w:val="es-CO" w:eastAsia="es-CO"/>
              </w:rPr>
              <w:t xml:space="preserve">La Ley 1532 de 2012, modificada por la Ley </w:t>
            </w:r>
            <w:r w:rsidRPr="00E3731F">
              <w:rPr>
                <w:rFonts w:cs="Arial"/>
                <w:bCs/>
                <w:sz w:val="22"/>
                <w:szCs w:val="22"/>
                <w:lang w:val="es-CO"/>
              </w:rPr>
              <w:t>1948 de 2019</w:t>
            </w:r>
            <w:r>
              <w:rPr>
                <w:rFonts w:cs="Arial"/>
                <w:bCs/>
                <w:sz w:val="22"/>
                <w:szCs w:val="22"/>
                <w:lang w:val="es-CO"/>
              </w:rPr>
              <w:t>, los cuales se encuentran vigentes.</w:t>
            </w:r>
          </w:p>
          <w:p w14:paraId="4FD5B622" w14:textId="38FC16AF" w:rsidR="001D4B20" w:rsidRPr="00402BE8" w:rsidRDefault="001D4B20" w:rsidP="001D4B20">
            <w:pPr>
              <w:pStyle w:val="Prrafodelista"/>
              <w:numPr>
                <w:ilvl w:val="0"/>
                <w:numId w:val="13"/>
              </w:numPr>
              <w:jc w:val="both"/>
              <w:rPr>
                <w:rFonts w:cs="Arial"/>
                <w:sz w:val="22"/>
                <w:szCs w:val="22"/>
                <w:lang w:val="es-CO" w:eastAsia="es-CO"/>
              </w:rPr>
            </w:pPr>
            <w:r>
              <w:rPr>
                <w:rFonts w:cs="Arial"/>
                <w:sz w:val="22"/>
                <w:szCs w:val="22"/>
                <w:lang w:val="es-CO" w:eastAsia="es-CO"/>
              </w:rPr>
              <w:t xml:space="preserve">Los artículos 2 y 211 de la Ley 1955 de 2019, </w:t>
            </w:r>
            <w:r>
              <w:rPr>
                <w:rFonts w:cs="Arial"/>
                <w:bCs/>
                <w:sz w:val="22"/>
                <w:szCs w:val="22"/>
                <w:lang w:val="es-ES_tradnl" w:eastAsia="es-CO"/>
              </w:rPr>
              <w:t>los cuales se encuentran vigentes.</w:t>
            </w:r>
          </w:p>
          <w:p w14:paraId="39FEFE02" w14:textId="0417BC2B" w:rsidR="001D4B20" w:rsidRPr="00402BE8" w:rsidRDefault="001D4B20" w:rsidP="001D4B20">
            <w:pPr>
              <w:pStyle w:val="Prrafodelista"/>
              <w:numPr>
                <w:ilvl w:val="0"/>
                <w:numId w:val="13"/>
              </w:numPr>
              <w:jc w:val="both"/>
              <w:rPr>
                <w:rFonts w:cs="Arial"/>
                <w:sz w:val="22"/>
                <w:szCs w:val="22"/>
                <w:lang w:val="es-CO" w:eastAsia="es-CO"/>
              </w:rPr>
            </w:pPr>
            <w:r>
              <w:rPr>
                <w:rFonts w:cs="Arial"/>
                <w:bCs/>
                <w:sz w:val="22"/>
                <w:szCs w:val="22"/>
                <w:lang w:val="es-ES_tradnl" w:eastAsia="es-CO"/>
              </w:rPr>
              <w:t>E</w:t>
            </w:r>
            <w:r w:rsidRPr="001D4B20">
              <w:rPr>
                <w:rFonts w:cs="Arial"/>
                <w:bCs/>
                <w:sz w:val="22"/>
                <w:szCs w:val="22"/>
                <w:lang w:val="es-ES_tradnl" w:eastAsia="es-CO"/>
              </w:rPr>
              <w:t>l artículo 2.5.5. del Decreto 1084 de 2015</w:t>
            </w:r>
            <w:r>
              <w:rPr>
                <w:rFonts w:cs="Arial"/>
                <w:bCs/>
                <w:sz w:val="22"/>
                <w:szCs w:val="22"/>
                <w:lang w:val="es-ES_tradnl" w:eastAsia="es-CO"/>
              </w:rPr>
              <w:t>, el cual se encuentra vigente.</w:t>
            </w:r>
          </w:p>
          <w:p w14:paraId="7FC12596" w14:textId="77777777" w:rsidR="001D4B20" w:rsidRDefault="001D4B20" w:rsidP="00825EB0">
            <w:pPr>
              <w:jc w:val="both"/>
              <w:rPr>
                <w:rFonts w:cs="Arial"/>
                <w:sz w:val="22"/>
                <w:szCs w:val="22"/>
              </w:rPr>
            </w:pPr>
          </w:p>
          <w:p w14:paraId="3EA4D75D" w14:textId="77777777" w:rsidR="001D4B20" w:rsidRDefault="001D4B20" w:rsidP="00825EB0">
            <w:pPr>
              <w:jc w:val="both"/>
              <w:rPr>
                <w:rFonts w:cs="Arial"/>
                <w:sz w:val="22"/>
                <w:szCs w:val="22"/>
              </w:rPr>
            </w:pPr>
          </w:p>
          <w:p w14:paraId="1E87416E" w14:textId="77777777" w:rsidR="00825EB0" w:rsidRDefault="00825EB0" w:rsidP="00825EB0">
            <w:pPr>
              <w:ind w:left="494" w:hanging="283"/>
              <w:jc w:val="both"/>
              <w:rPr>
                <w:rFonts w:cs="Arial"/>
                <w:sz w:val="22"/>
                <w:szCs w:val="22"/>
                <w:lang w:val="es-CO" w:eastAsia="es-CO"/>
              </w:rPr>
            </w:pPr>
            <w:r>
              <w:rPr>
                <w:rFonts w:cs="Arial"/>
                <w:sz w:val="22"/>
                <w:szCs w:val="22"/>
                <w:lang w:val="es-CO" w:eastAsia="es-CO"/>
              </w:rPr>
              <w:t xml:space="preserve">3.3. Disposiciones derogadas, subrogadas, modificadas, adicionadas o sustituidas. </w:t>
            </w:r>
          </w:p>
          <w:p w14:paraId="45E5C877" w14:textId="77777777" w:rsidR="00825EB0" w:rsidRDefault="00825EB0" w:rsidP="00825EB0">
            <w:pPr>
              <w:jc w:val="both"/>
              <w:rPr>
                <w:rFonts w:cs="Arial"/>
                <w:sz w:val="22"/>
                <w:szCs w:val="22"/>
                <w:lang w:val="es-CO" w:eastAsia="es-CO"/>
              </w:rPr>
            </w:pPr>
          </w:p>
          <w:p w14:paraId="30433700" w14:textId="6486180C" w:rsidR="00825EB0" w:rsidRPr="00825EB0" w:rsidRDefault="00D07D9D" w:rsidP="00825EB0">
            <w:pPr>
              <w:jc w:val="both"/>
              <w:rPr>
                <w:rFonts w:cs="Arial"/>
                <w:sz w:val="22"/>
                <w:szCs w:val="22"/>
                <w:lang w:val="es-CO" w:eastAsia="es-CO"/>
              </w:rPr>
            </w:pPr>
            <w:r>
              <w:rPr>
                <w:rFonts w:cs="Arial"/>
                <w:sz w:val="22"/>
                <w:szCs w:val="22"/>
                <w:lang w:val="es-CO" w:eastAsia="es-CO"/>
              </w:rPr>
              <w:t xml:space="preserve">   </w:t>
            </w:r>
            <w:r w:rsidR="001D4B20">
              <w:rPr>
                <w:rFonts w:cs="Arial"/>
                <w:sz w:val="22"/>
                <w:szCs w:val="22"/>
                <w:lang w:val="es-CO" w:eastAsia="es-CO"/>
              </w:rPr>
              <w:t>Ninguna.</w:t>
            </w:r>
          </w:p>
          <w:p w14:paraId="0AC23A64" w14:textId="77777777" w:rsidR="00825EB0" w:rsidRDefault="00825EB0" w:rsidP="00825EB0">
            <w:pPr>
              <w:jc w:val="both"/>
              <w:rPr>
                <w:rFonts w:cs="Arial"/>
                <w:sz w:val="22"/>
                <w:szCs w:val="22"/>
                <w:lang w:val="es-CO" w:eastAsia="es-CO"/>
              </w:rPr>
            </w:pPr>
          </w:p>
          <w:p w14:paraId="1DA1B5AC" w14:textId="48D811B4" w:rsidR="00825EB0" w:rsidRDefault="00825EB0" w:rsidP="00825EB0">
            <w:pPr>
              <w:ind w:left="494" w:hanging="283"/>
              <w:jc w:val="both"/>
              <w:rPr>
                <w:rFonts w:cs="Arial"/>
                <w:sz w:val="22"/>
                <w:szCs w:val="22"/>
                <w:lang w:val="es-CO" w:eastAsia="es-CO"/>
              </w:rPr>
            </w:pPr>
            <w:r>
              <w:rPr>
                <w:rFonts w:cs="Arial"/>
                <w:sz w:val="22"/>
                <w:szCs w:val="22"/>
                <w:lang w:val="es-CO" w:eastAsia="es-CO"/>
              </w:rPr>
              <w:t>3.4 Revisión y análisis de la jurisprudencia que tenga impacto o sea relevante para la expedición del proyecto normativo (órganos de cierre de cada jurisdicción)</w:t>
            </w:r>
          </w:p>
          <w:p w14:paraId="5FC34393" w14:textId="77777777" w:rsidR="00825EB0" w:rsidRDefault="00825EB0" w:rsidP="00825EB0">
            <w:pPr>
              <w:ind w:left="494" w:hanging="283"/>
              <w:jc w:val="both"/>
              <w:rPr>
                <w:rFonts w:cs="Arial"/>
                <w:sz w:val="22"/>
                <w:szCs w:val="22"/>
                <w:lang w:val="es-CO" w:eastAsia="es-CO"/>
              </w:rPr>
            </w:pPr>
          </w:p>
          <w:p w14:paraId="071CF56E" w14:textId="77777777" w:rsidR="001D4B20" w:rsidRDefault="001D4B20" w:rsidP="001D4B20">
            <w:pPr>
              <w:ind w:left="494" w:hanging="283"/>
              <w:jc w:val="both"/>
              <w:rPr>
                <w:rFonts w:cs="Arial"/>
                <w:sz w:val="22"/>
                <w:szCs w:val="22"/>
                <w:lang w:val="es-CO" w:eastAsia="es-CO"/>
              </w:rPr>
            </w:pPr>
            <w:r w:rsidRPr="00E26E36">
              <w:rPr>
                <w:rFonts w:cs="Arial"/>
                <w:sz w:val="22"/>
                <w:szCs w:val="22"/>
                <w:lang w:eastAsia="es-CO"/>
              </w:rPr>
              <w:t>Corte Constitucional, sentencias T-406 de 1992, T-505 de 1992, T-149 de 2002, C-776 de 2003, T-655 de 2008</w:t>
            </w:r>
            <w:r>
              <w:rPr>
                <w:rFonts w:cs="Arial"/>
                <w:sz w:val="22"/>
                <w:szCs w:val="22"/>
                <w:lang w:eastAsia="es-CO"/>
              </w:rPr>
              <w:t>, T-622 de 2016</w:t>
            </w:r>
            <w:r w:rsidRPr="00E26E36">
              <w:rPr>
                <w:rFonts w:cs="Arial"/>
                <w:sz w:val="22"/>
                <w:szCs w:val="22"/>
                <w:lang w:eastAsia="es-CO"/>
              </w:rPr>
              <w:t>.</w:t>
            </w:r>
            <w:r w:rsidRPr="00E26E36">
              <w:rPr>
                <w:rFonts w:cs="Arial"/>
                <w:sz w:val="22"/>
                <w:szCs w:val="22"/>
                <w:lang w:val="es-CO" w:eastAsia="es-CO"/>
              </w:rPr>
              <w:t xml:space="preserve"> </w:t>
            </w:r>
          </w:p>
          <w:p w14:paraId="7D002EDC" w14:textId="77777777" w:rsidR="001D4B20" w:rsidRDefault="001D4B20" w:rsidP="001D4B20">
            <w:pPr>
              <w:ind w:left="494" w:hanging="283"/>
              <w:jc w:val="both"/>
              <w:rPr>
                <w:rFonts w:cs="Arial"/>
                <w:sz w:val="22"/>
                <w:szCs w:val="22"/>
                <w:lang w:val="es-CO" w:eastAsia="es-CO"/>
              </w:rPr>
            </w:pPr>
          </w:p>
          <w:p w14:paraId="0B12AD14" w14:textId="77777777" w:rsidR="001D4B20" w:rsidRPr="00E26E36" w:rsidRDefault="001D4B20" w:rsidP="001D4B20">
            <w:pPr>
              <w:ind w:left="568"/>
              <w:jc w:val="both"/>
              <w:rPr>
                <w:rFonts w:cs="Arial"/>
                <w:sz w:val="22"/>
                <w:szCs w:val="22"/>
                <w:lang w:val="es-CO" w:eastAsia="es-CO"/>
              </w:rPr>
            </w:pPr>
            <w:r>
              <w:rPr>
                <w:rFonts w:cs="Arial"/>
                <w:sz w:val="22"/>
                <w:szCs w:val="22"/>
                <w:lang w:eastAsia="es-CO"/>
              </w:rPr>
              <w:t>R</w:t>
            </w:r>
            <w:r w:rsidRPr="00E26E36">
              <w:rPr>
                <w:rFonts w:cs="Arial"/>
                <w:sz w:val="22"/>
                <w:szCs w:val="22"/>
                <w:lang w:eastAsia="es-CO"/>
              </w:rPr>
              <w:t>especto de los principios de </w:t>
            </w:r>
            <w:r w:rsidRPr="00E26E36">
              <w:rPr>
                <w:rFonts w:cs="Arial"/>
                <w:b/>
                <w:bCs/>
                <w:sz w:val="22"/>
                <w:szCs w:val="22"/>
                <w:lang w:eastAsia="es-CO"/>
              </w:rPr>
              <w:t>justicia social y distributiva</w:t>
            </w:r>
            <w:r w:rsidRPr="00E26E36">
              <w:rPr>
                <w:rFonts w:cs="Arial"/>
                <w:sz w:val="22"/>
                <w:szCs w:val="22"/>
                <w:lang w:eastAsia="es-CO"/>
              </w:rPr>
              <w:t xml:space="preserve">, la Corte ha señalado </w:t>
            </w:r>
            <w:proofErr w:type="gramStart"/>
            <w:r w:rsidRPr="00E26E36">
              <w:rPr>
                <w:rFonts w:cs="Arial"/>
                <w:sz w:val="22"/>
                <w:szCs w:val="22"/>
                <w:lang w:eastAsia="es-CO"/>
              </w:rPr>
              <w:t>que</w:t>
            </w:r>
            <w:proofErr w:type="gramEnd"/>
            <w:r w:rsidRPr="00E26E36">
              <w:rPr>
                <w:rFonts w:cs="Arial"/>
                <w:sz w:val="22"/>
                <w:szCs w:val="22"/>
                <w:lang w:eastAsia="es-CO"/>
              </w:rPr>
              <w:t xml:space="preserve"> en relación a la primera, la naturaleza social del Estado de derecho colombiano supone un papel activo de las autoridades y un compromiso permanente en la promoción de la justicia social y en la creación de condiciones generales de equidad a través de políticas públicas y planes de desarrollo incluyentes y efectivos. En efecto, la defensa de los valores supremos de la Carta Política obliga entonces al Estado a intervenir decisivamente, dentro del marco constitucional, para proteger a las personas en su dignidad humana y exigir la solidaridad social cuando ella sea indispensable para garantizar la plena efectividad de los derechos fundamentales.</w:t>
            </w:r>
          </w:p>
          <w:p w14:paraId="6686952E" w14:textId="77777777" w:rsidR="001D4B20" w:rsidRPr="00E26E36" w:rsidRDefault="001D4B20" w:rsidP="001D4B20">
            <w:pPr>
              <w:ind w:left="494" w:hanging="283"/>
              <w:jc w:val="both"/>
              <w:rPr>
                <w:rFonts w:cs="Arial"/>
                <w:sz w:val="22"/>
                <w:szCs w:val="22"/>
                <w:lang w:val="es-CO" w:eastAsia="es-CO"/>
              </w:rPr>
            </w:pPr>
            <w:r w:rsidRPr="00E26E36">
              <w:rPr>
                <w:rFonts w:cs="Arial"/>
                <w:sz w:val="22"/>
                <w:szCs w:val="22"/>
                <w:lang w:eastAsia="es-CO"/>
              </w:rPr>
              <w:t> </w:t>
            </w:r>
          </w:p>
          <w:p w14:paraId="5415F966" w14:textId="77777777" w:rsidR="001D4B20" w:rsidRPr="00E26E36" w:rsidRDefault="001D4B20" w:rsidP="001D4B20">
            <w:pPr>
              <w:ind w:left="568"/>
              <w:jc w:val="both"/>
              <w:rPr>
                <w:rFonts w:cs="Arial"/>
                <w:sz w:val="22"/>
                <w:szCs w:val="22"/>
                <w:lang w:eastAsia="es-CO"/>
              </w:rPr>
            </w:pPr>
            <w:r w:rsidRPr="00E26E36">
              <w:rPr>
                <w:rFonts w:cs="Arial"/>
                <w:sz w:val="22"/>
                <w:szCs w:val="22"/>
                <w:lang w:eastAsia="es-CO"/>
              </w:rPr>
              <w:t xml:space="preserve">En relación con la justicia distributiva ha estimado que en la asignación de los recursos económicos de una sociedad se deberá tender a privilegiar a los sectores menos favorecidos y, que este principio, sirve de fundamento al diseño y ejecución de un régimen impositivo, a las reglas de elaboración presupuestal, a la jerarquización del gasto y a la fijación de prioridades en materia de prestación de los servicios </w:t>
            </w:r>
            <w:r w:rsidRPr="00E26E36">
              <w:rPr>
                <w:rFonts w:cs="Arial"/>
                <w:sz w:val="22"/>
                <w:szCs w:val="22"/>
                <w:lang w:eastAsia="es-CO"/>
              </w:rPr>
              <w:lastRenderedPageBreak/>
              <w:t>públicos. De hecho, uno de los fines esenciales de nuestro modelo de ESD es promover la prosperidad general y garantizar la efectividad de los derechos, deberes y principios constitucionales, que, junto con el derecho fundamental a la igualdad de oportunidades, guían la interpretación de la Constitución Económica e irradian todos los ámbitos de su regulación, por ejemplo, en materias como régimen impositivo, presupuestal, gasto público; explotación de recursos naturales y producción, distribución, utilización y consumo de bienes y servicios</w:t>
            </w:r>
          </w:p>
          <w:p w14:paraId="7DD10772" w14:textId="77777777" w:rsidR="00825EB0" w:rsidRDefault="00825EB0" w:rsidP="00825EB0">
            <w:pPr>
              <w:ind w:left="494" w:hanging="283"/>
              <w:jc w:val="both"/>
              <w:rPr>
                <w:rFonts w:cs="Arial"/>
                <w:sz w:val="22"/>
                <w:szCs w:val="22"/>
                <w:lang w:val="es-CO" w:eastAsia="es-CO"/>
              </w:rPr>
            </w:pPr>
          </w:p>
          <w:p w14:paraId="571799B9" w14:textId="77777777" w:rsidR="00825EB0" w:rsidRDefault="00825EB0" w:rsidP="00825EB0">
            <w:pPr>
              <w:ind w:left="494" w:hanging="283"/>
              <w:jc w:val="both"/>
              <w:rPr>
                <w:rFonts w:cs="Arial"/>
                <w:sz w:val="22"/>
                <w:szCs w:val="22"/>
                <w:lang w:val="es-CO" w:eastAsia="es-CO"/>
              </w:rPr>
            </w:pPr>
            <w:r>
              <w:rPr>
                <w:rFonts w:cs="Arial"/>
                <w:sz w:val="22"/>
                <w:szCs w:val="22"/>
                <w:lang w:val="es-CO" w:eastAsia="es-CO"/>
              </w:rPr>
              <w:t xml:space="preserve">3.5 Circunstancias jurídicas adicionales </w:t>
            </w:r>
          </w:p>
          <w:p w14:paraId="3F712B0B" w14:textId="77777777" w:rsidR="00825EB0" w:rsidRDefault="00825EB0" w:rsidP="00825EB0">
            <w:pPr>
              <w:ind w:left="494" w:hanging="283"/>
              <w:jc w:val="both"/>
              <w:rPr>
                <w:rFonts w:cs="Arial"/>
                <w:sz w:val="22"/>
                <w:szCs w:val="22"/>
                <w:lang w:val="es-CO" w:eastAsia="es-CO"/>
              </w:rPr>
            </w:pPr>
          </w:p>
          <w:p w14:paraId="738D20DB" w14:textId="7566EA05" w:rsidR="00825EB0" w:rsidRDefault="001D4B20" w:rsidP="00825EB0">
            <w:pPr>
              <w:ind w:left="494" w:hanging="283"/>
              <w:jc w:val="both"/>
              <w:rPr>
                <w:rFonts w:cs="Arial"/>
                <w:sz w:val="22"/>
                <w:szCs w:val="22"/>
                <w:lang w:val="es-CO" w:eastAsia="es-CO"/>
              </w:rPr>
            </w:pPr>
            <w:r>
              <w:rPr>
                <w:rFonts w:cs="Arial"/>
                <w:sz w:val="22"/>
                <w:szCs w:val="22"/>
                <w:lang w:val="es-CO" w:eastAsia="es-CO"/>
              </w:rPr>
              <w:t xml:space="preserve">Ninguna. </w:t>
            </w:r>
          </w:p>
          <w:p w14:paraId="1A1EBBE7" w14:textId="77777777" w:rsidR="00825EB0" w:rsidRPr="00C332EA" w:rsidRDefault="00825EB0" w:rsidP="00402BE8">
            <w:pPr>
              <w:pStyle w:val="Prrafodelista"/>
              <w:rPr>
                <w:rFonts w:cs="Arial"/>
                <w:b/>
                <w:color w:val="000000"/>
                <w:sz w:val="22"/>
                <w:szCs w:val="22"/>
              </w:rPr>
            </w:pPr>
          </w:p>
        </w:tc>
      </w:tr>
      <w:tr w:rsidR="00825EB0" w:rsidRPr="009F7CED" w14:paraId="15E028DF"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E8685" w14:textId="63D7F9C0" w:rsidR="00825EB0" w:rsidRPr="00825EB0" w:rsidRDefault="00825EB0" w:rsidP="00825EB0">
            <w:pPr>
              <w:pStyle w:val="Prrafodelista"/>
              <w:numPr>
                <w:ilvl w:val="0"/>
                <w:numId w:val="9"/>
              </w:numPr>
              <w:rPr>
                <w:rFonts w:cs="Arial"/>
                <w:b/>
                <w:color w:val="000000"/>
                <w:sz w:val="22"/>
                <w:szCs w:val="22"/>
              </w:rPr>
            </w:pPr>
            <w:r w:rsidRPr="00825EB0">
              <w:rPr>
                <w:rFonts w:cs="Arial"/>
                <w:b/>
                <w:color w:val="000000"/>
                <w:sz w:val="22"/>
                <w:szCs w:val="22"/>
              </w:rPr>
              <w:lastRenderedPageBreak/>
              <w:t xml:space="preserve">IMPACTO ECONÓMICO </w:t>
            </w:r>
            <w:r w:rsidRPr="00825EB0">
              <w:rPr>
                <w:rFonts w:cs="Arial"/>
                <w:color w:val="000000"/>
                <w:sz w:val="22"/>
                <w:szCs w:val="22"/>
              </w:rPr>
              <w:t>(Si se requiere)</w:t>
            </w:r>
          </w:p>
          <w:p w14:paraId="6DDB69DD" w14:textId="59936A5F" w:rsidR="00825EB0" w:rsidRDefault="00825EB0" w:rsidP="00825EB0">
            <w:pPr>
              <w:pStyle w:val="Listavistosa-nfasis11"/>
              <w:numPr>
                <w:ilvl w:val="1"/>
                <w:numId w:val="9"/>
              </w:numPr>
              <w:jc w:val="both"/>
              <w:rPr>
                <w:rFonts w:cs="Arial"/>
              </w:rPr>
            </w:pPr>
            <w:r w:rsidRPr="00795C6B">
              <w:rPr>
                <w:rFonts w:ascii="Arial" w:hAnsi="Arial" w:cs="Arial"/>
                <w:i/>
                <w:color w:val="808080"/>
                <w:sz w:val="18"/>
              </w:rPr>
              <w:t>(Por favor señale el costo o ahorro de la implementación del acto administrativ</w:t>
            </w:r>
            <w:r w:rsidR="00BB434E">
              <w:rPr>
                <w:rFonts w:ascii="Arial" w:hAnsi="Arial" w:cs="Arial"/>
                <w:i/>
                <w:color w:val="808080"/>
                <w:sz w:val="18"/>
              </w:rPr>
              <w:t>o</w:t>
            </w:r>
          </w:p>
          <w:p w14:paraId="348B775E" w14:textId="1DA141BA" w:rsidR="00825EB0" w:rsidRDefault="0019385B" w:rsidP="0079106F">
            <w:pPr>
              <w:pStyle w:val="NormalWeb"/>
              <w:jc w:val="both"/>
              <w:rPr>
                <w:rFonts w:ascii="ArialMT" w:hAnsi="ArialMT" w:hint="eastAsia"/>
                <w:sz w:val="22"/>
                <w:szCs w:val="22"/>
              </w:rPr>
            </w:pPr>
            <w:r>
              <w:rPr>
                <w:rFonts w:ascii="ArialMT" w:hAnsi="ArialMT"/>
                <w:sz w:val="22"/>
                <w:szCs w:val="22"/>
              </w:rPr>
              <w:t xml:space="preserve">De acuerdo con el resultado del proceso de verificación en salud para el ciclo 5 de 2022, se proyecta que 399.394 familias son potenciales para que en el ciclo 6 de 2022 </w:t>
            </w:r>
            <w:r w:rsidR="00AE6012">
              <w:rPr>
                <w:rFonts w:ascii="ArialMT" w:hAnsi="ArialMT"/>
                <w:sz w:val="22"/>
                <w:szCs w:val="22"/>
              </w:rPr>
              <w:t xml:space="preserve">verifiquen cumplimiento de </w:t>
            </w:r>
            <w:r>
              <w:rPr>
                <w:rFonts w:ascii="ArialMT" w:hAnsi="ArialMT"/>
                <w:sz w:val="22"/>
                <w:szCs w:val="22"/>
              </w:rPr>
              <w:t>compromisos en salud y puedan recibir la suma de hasta de $500.000 por este incentivo. Est</w:t>
            </w:r>
            <w:r w:rsidR="00AE6012">
              <w:rPr>
                <w:rFonts w:ascii="ArialMT" w:hAnsi="ArialMT"/>
                <w:sz w:val="22"/>
                <w:szCs w:val="22"/>
              </w:rPr>
              <w:t>e</w:t>
            </w:r>
            <w:r>
              <w:rPr>
                <w:rFonts w:ascii="ArialMT" w:hAnsi="ArialMT"/>
                <w:sz w:val="22"/>
                <w:szCs w:val="22"/>
              </w:rPr>
              <w:t xml:space="preserve"> equivale a que </w:t>
            </w:r>
            <w:r w:rsidR="00674F1F">
              <w:rPr>
                <w:rFonts w:ascii="ArialMT" w:hAnsi="ArialMT"/>
                <w:sz w:val="22"/>
                <w:szCs w:val="22"/>
              </w:rPr>
              <w:t xml:space="preserve">se </w:t>
            </w:r>
            <w:r>
              <w:rPr>
                <w:rFonts w:ascii="ArialMT" w:hAnsi="ArialMT"/>
                <w:sz w:val="22"/>
                <w:szCs w:val="22"/>
              </w:rPr>
              <w:t xml:space="preserve">requiere, adicional al presupuesto previsto para cubrir el ciclo 6 de 2022 de Familias en Acción, un techo de $130.202.444.000 para cubrir la diferencia entre el valor actual que se liquida para salud (que oscila entre $174.650 y $203.700 por ciclo </w:t>
            </w:r>
            <w:proofErr w:type="gramStart"/>
            <w:r>
              <w:rPr>
                <w:rFonts w:ascii="ArialMT" w:hAnsi="ArialMT"/>
                <w:sz w:val="22"/>
                <w:szCs w:val="22"/>
              </w:rPr>
              <w:t>de acuerdo al</w:t>
            </w:r>
            <w:proofErr w:type="gramEnd"/>
            <w:r>
              <w:rPr>
                <w:rFonts w:ascii="ArialMT" w:hAnsi="ArialMT"/>
                <w:sz w:val="22"/>
                <w:szCs w:val="22"/>
              </w:rPr>
              <w:t xml:space="preserve"> grupo de clasificación de la familia) y el nuevo monto. En estos hogares el 87,5% de los titulares son mujeres (quienes reciben directamente el pago del programa). </w:t>
            </w:r>
          </w:p>
          <w:p w14:paraId="681C045C" w14:textId="08BF78D7" w:rsidR="0079106F" w:rsidRPr="0079106F" w:rsidRDefault="0079106F" w:rsidP="0079106F">
            <w:pPr>
              <w:pStyle w:val="NormalWeb"/>
              <w:jc w:val="both"/>
              <w:rPr>
                <w:rFonts w:ascii="Times New Roman" w:hAnsi="Times New Roman"/>
                <w:lang w:val="es-CO" w:eastAsia="es-ES_tradnl"/>
              </w:rPr>
            </w:pPr>
          </w:p>
        </w:tc>
      </w:tr>
      <w:tr w:rsidR="00825EB0" w:rsidRPr="009F7CED" w14:paraId="77501D0B"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937BC9" w14:textId="220D9B14" w:rsidR="00825EB0" w:rsidRPr="002E1DC6" w:rsidRDefault="00825EB0" w:rsidP="00825EB0">
            <w:pPr>
              <w:pStyle w:val="Prrafodelista"/>
              <w:numPr>
                <w:ilvl w:val="0"/>
                <w:numId w:val="7"/>
              </w:numPr>
              <w:rPr>
                <w:rFonts w:cs="Arial"/>
                <w:b/>
                <w:color w:val="000000"/>
                <w:sz w:val="22"/>
                <w:szCs w:val="22"/>
              </w:rPr>
            </w:pPr>
            <w:r w:rsidRPr="002E1DC6">
              <w:rPr>
                <w:rFonts w:cs="Arial"/>
                <w:b/>
                <w:color w:val="000000"/>
                <w:sz w:val="22"/>
                <w:szCs w:val="22"/>
              </w:rPr>
              <w:t xml:space="preserve">VIABILIDAD O DISPONIBILIDAD PRESUPUESTAL </w:t>
            </w:r>
            <w:r w:rsidRPr="002E1DC6">
              <w:rPr>
                <w:rFonts w:cs="Arial"/>
                <w:color w:val="000000"/>
                <w:sz w:val="22"/>
                <w:szCs w:val="22"/>
              </w:rPr>
              <w:t>(Si se requiere)</w:t>
            </w:r>
          </w:p>
          <w:p w14:paraId="4FF45F8B" w14:textId="56B87F3D" w:rsidR="00825EB0" w:rsidRDefault="00825EB0" w:rsidP="00825EB0">
            <w:pPr>
              <w:pStyle w:val="Listavistosa-nfasis11"/>
              <w:jc w:val="both"/>
              <w:rPr>
                <w:rFonts w:ascii="Arial" w:hAnsi="Arial" w:cs="Arial"/>
                <w:i/>
                <w:color w:val="808080"/>
                <w:sz w:val="18"/>
              </w:rPr>
            </w:pPr>
            <w:r w:rsidRPr="00795C6B">
              <w:rPr>
                <w:rFonts w:ascii="Arial" w:hAnsi="Arial" w:cs="Arial"/>
                <w:i/>
                <w:color w:val="808080"/>
                <w:sz w:val="18"/>
              </w:rPr>
              <w:t xml:space="preserve">(Por favor </w:t>
            </w:r>
            <w:r>
              <w:rPr>
                <w:rFonts w:ascii="Arial" w:hAnsi="Arial" w:cs="Arial"/>
                <w:i/>
                <w:color w:val="808080"/>
                <w:sz w:val="18"/>
              </w:rPr>
              <w:t>indique si cuenta con los recursos presupuestales disponibles para la implementación del proyecto normativo)</w:t>
            </w:r>
          </w:p>
          <w:p w14:paraId="5A7005C3" w14:textId="34227958" w:rsidR="00825EB0" w:rsidRDefault="001D4B20" w:rsidP="00825EB0">
            <w:pPr>
              <w:pStyle w:val="Listavistosa-nfasis11"/>
              <w:spacing w:after="0" w:line="240" w:lineRule="auto"/>
              <w:ind w:left="0"/>
              <w:jc w:val="both"/>
              <w:rPr>
                <w:rFonts w:ascii="Arial" w:hAnsi="Arial" w:cs="Arial"/>
                <w:iCs/>
              </w:rPr>
            </w:pPr>
            <w:r w:rsidRPr="00E2015F">
              <w:rPr>
                <w:rFonts w:ascii="Arial" w:hAnsi="Arial" w:cs="Arial"/>
                <w:iCs/>
              </w:rPr>
              <w:t>La determinación de las fuentes presupuestales será descrita en los actos administrativos de ejecución que liquiden y ordenen el pago de las transferencias monetarias del programa en cada ciclo operativo.</w:t>
            </w:r>
          </w:p>
          <w:p w14:paraId="0D28F51D" w14:textId="476A7750" w:rsidR="00AA4B4A" w:rsidRPr="00F41858" w:rsidRDefault="00AA4B4A" w:rsidP="00825EB0">
            <w:pPr>
              <w:pStyle w:val="Listavistosa-nfasis11"/>
              <w:spacing w:after="0" w:line="240" w:lineRule="auto"/>
              <w:ind w:left="0"/>
              <w:jc w:val="both"/>
              <w:rPr>
                <w:rFonts w:ascii="Arial" w:hAnsi="Arial" w:cs="Arial"/>
                <w:iCs/>
                <w:color w:val="808080"/>
              </w:rPr>
            </w:pPr>
          </w:p>
        </w:tc>
      </w:tr>
      <w:tr w:rsidR="00825EB0" w:rsidRPr="009F7CED" w14:paraId="3C8C22C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57772216" w14:textId="77777777" w:rsidR="00825EB0" w:rsidRPr="009F7CED" w:rsidRDefault="00825EB0" w:rsidP="00825EB0">
            <w:pPr>
              <w:numPr>
                <w:ilvl w:val="0"/>
                <w:numId w:val="7"/>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Pr="00D05B67">
              <w:rPr>
                <w:rFonts w:cs="Arial"/>
                <w:color w:val="000000"/>
                <w:sz w:val="22"/>
                <w:szCs w:val="22"/>
              </w:rPr>
              <w:t>(Si se requiere)</w:t>
            </w:r>
          </w:p>
          <w:p w14:paraId="10637FD6" w14:textId="77777777" w:rsidR="00825EB0" w:rsidRDefault="00825EB0" w:rsidP="00825EB0">
            <w:pPr>
              <w:ind w:left="778"/>
              <w:jc w:val="both"/>
              <w:rPr>
                <w:rFonts w:cs="Arial"/>
                <w:b/>
                <w:color w:val="000000"/>
                <w:sz w:val="22"/>
                <w:szCs w:val="22"/>
              </w:rPr>
            </w:pPr>
            <w:r>
              <w:rPr>
                <w:rFonts w:cs="Arial"/>
                <w:i/>
                <w:color w:val="808080"/>
                <w:sz w:val="18"/>
                <w:szCs w:val="22"/>
              </w:rPr>
              <w:t>(</w:t>
            </w:r>
            <w:r w:rsidRPr="00795C6B">
              <w:rPr>
                <w:rFonts w:cs="Arial"/>
                <w:i/>
                <w:color w:val="808080"/>
                <w:sz w:val="18"/>
                <w:szCs w:val="22"/>
              </w:rPr>
              <w:t xml:space="preserve">Por favor </w:t>
            </w:r>
            <w:r>
              <w:rPr>
                <w:rFonts w:cs="Arial"/>
                <w:i/>
                <w:color w:val="808080"/>
                <w:sz w:val="18"/>
              </w:rPr>
              <w:t xml:space="preserve">indique el proyecto normativo tiene impacto sobre el medio ambiente o el Patrimonio cultural de la Nación) </w:t>
            </w:r>
          </w:p>
          <w:p w14:paraId="5C5EE438" w14:textId="77777777" w:rsidR="00825EB0" w:rsidRDefault="00825EB0" w:rsidP="00825EB0">
            <w:pPr>
              <w:jc w:val="both"/>
              <w:rPr>
                <w:rFonts w:cs="Arial"/>
                <w:color w:val="000000"/>
                <w:sz w:val="22"/>
                <w:szCs w:val="22"/>
              </w:rPr>
            </w:pPr>
          </w:p>
          <w:p w14:paraId="400A115B" w14:textId="77777777" w:rsidR="001D4B20" w:rsidRPr="00E2015F" w:rsidRDefault="001D4B20" w:rsidP="001D4B20">
            <w:pPr>
              <w:jc w:val="both"/>
              <w:rPr>
                <w:rFonts w:cs="Arial"/>
                <w:sz w:val="22"/>
                <w:szCs w:val="22"/>
                <w:lang w:val="es-CO" w:eastAsia="es-CO"/>
              </w:rPr>
            </w:pPr>
            <w:r w:rsidRPr="00E2015F">
              <w:rPr>
                <w:rFonts w:cs="Arial"/>
                <w:color w:val="000000"/>
                <w:sz w:val="22"/>
                <w:szCs w:val="22"/>
              </w:rPr>
              <w:t>La expedición del presente acto administrativo no tiene impacto sobre el medio ambiente o el patrimonio cultural de la nación.</w:t>
            </w:r>
            <w:r w:rsidRPr="00E2015F">
              <w:rPr>
                <w:rFonts w:cs="Arial"/>
                <w:sz w:val="22"/>
                <w:szCs w:val="22"/>
                <w:lang w:val="es-CO" w:eastAsia="es-CO"/>
              </w:rPr>
              <w:t xml:space="preserve"> </w:t>
            </w:r>
          </w:p>
          <w:p w14:paraId="323F2C1D" w14:textId="29960661" w:rsidR="00825EB0" w:rsidRPr="00455F00" w:rsidRDefault="00825EB0" w:rsidP="00825EB0">
            <w:pPr>
              <w:jc w:val="both"/>
              <w:rPr>
                <w:rFonts w:cs="Arial"/>
                <w:color w:val="000000"/>
                <w:sz w:val="22"/>
                <w:szCs w:val="22"/>
              </w:rPr>
            </w:pPr>
          </w:p>
        </w:tc>
      </w:tr>
      <w:tr w:rsidR="00825EB0" w:rsidRPr="009F7CED" w14:paraId="131FB933"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71E5E97" w14:textId="77777777" w:rsidR="00825EB0" w:rsidRPr="009F7CED" w:rsidRDefault="00825EB0" w:rsidP="00825EB0">
            <w:pPr>
              <w:numPr>
                <w:ilvl w:val="0"/>
                <w:numId w:val="7"/>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Pr="009F7CED">
              <w:rPr>
                <w:rFonts w:cs="Arial"/>
                <w:sz w:val="22"/>
                <w:szCs w:val="22"/>
              </w:rPr>
              <w:t xml:space="preserve"> </w:t>
            </w:r>
          </w:p>
        </w:tc>
      </w:tr>
      <w:tr w:rsidR="00825EB0" w:rsidRPr="009F7CED" w14:paraId="6E0C64E0"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4310940C" w14:textId="7B7F6FCE" w:rsidR="00825EB0" w:rsidRPr="008C28AE" w:rsidRDefault="00825EB0" w:rsidP="00825EB0">
            <w:pPr>
              <w:rPr>
                <w:rFonts w:cs="Arial"/>
                <w:color w:val="000000"/>
                <w:sz w:val="22"/>
                <w:szCs w:val="22"/>
              </w:rPr>
            </w:pPr>
            <w:r>
              <w:rPr>
                <w:rFonts w:cs="Arial"/>
                <w:b/>
                <w:color w:val="000000"/>
                <w:sz w:val="22"/>
                <w:szCs w:val="22"/>
              </w:rPr>
              <w:t xml:space="preserve"> </w:t>
            </w:r>
            <w:r w:rsidR="001D4B20" w:rsidRPr="00E2015F">
              <w:rPr>
                <w:rFonts w:cs="Arial"/>
                <w:color w:val="000000"/>
                <w:sz w:val="22"/>
                <w:szCs w:val="22"/>
              </w:rPr>
              <w:t>Ninguno</w:t>
            </w:r>
            <w:r w:rsidR="001D4B20">
              <w:rPr>
                <w:rFonts w:cs="Arial"/>
                <w:color w:val="000000"/>
                <w:sz w:val="22"/>
                <w:szCs w:val="22"/>
              </w:rPr>
              <w:t>.</w:t>
            </w:r>
          </w:p>
        </w:tc>
      </w:tr>
      <w:tr w:rsidR="00825EB0" w:rsidRPr="009F7CED" w14:paraId="0D8137C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C86E161" w14:textId="77777777" w:rsidR="00825EB0" w:rsidRPr="009F7CED" w:rsidRDefault="00825EB0" w:rsidP="00825EB0">
            <w:pPr>
              <w:jc w:val="both"/>
              <w:rPr>
                <w:rFonts w:cs="Arial"/>
                <w:sz w:val="22"/>
                <w:szCs w:val="22"/>
              </w:rPr>
            </w:pPr>
          </w:p>
        </w:tc>
      </w:tr>
      <w:tr w:rsidR="00825EB0" w:rsidRPr="00D965B1" w14:paraId="5DC2B9DC"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0D4CFE41" w14:textId="77777777" w:rsidR="00825EB0" w:rsidRPr="00D965B1" w:rsidRDefault="00825EB0" w:rsidP="00825EB0">
            <w:pPr>
              <w:jc w:val="center"/>
              <w:rPr>
                <w:rFonts w:cs="Arial"/>
                <w:color w:val="FFFFFF"/>
                <w:sz w:val="22"/>
                <w:szCs w:val="22"/>
              </w:rPr>
            </w:pPr>
            <w:r w:rsidRPr="00D965B1">
              <w:rPr>
                <w:rFonts w:cs="Arial"/>
                <w:b/>
                <w:color w:val="FFFFFF"/>
                <w:sz w:val="22"/>
                <w:szCs w:val="22"/>
              </w:rPr>
              <w:t>ANEXOS:</w:t>
            </w:r>
            <w:r w:rsidRPr="00D965B1">
              <w:rPr>
                <w:rFonts w:cs="Arial"/>
                <w:color w:val="FFFFFF"/>
                <w:sz w:val="22"/>
                <w:szCs w:val="22"/>
              </w:rPr>
              <w:t xml:space="preserve"> </w:t>
            </w:r>
          </w:p>
        </w:tc>
      </w:tr>
      <w:tr w:rsidR="001D4B20" w:rsidRPr="009F7CED" w14:paraId="0F952A2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2611A3F" w14:textId="77777777" w:rsidR="001D4B20" w:rsidRDefault="001D4B20" w:rsidP="001D4B20">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323896E3" w14:textId="77777777" w:rsidR="001D4B20" w:rsidRPr="00084B49" w:rsidRDefault="001D4B20" w:rsidP="001D4B20">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40015E8D" w14:textId="62F1375B" w:rsidR="001D4B20" w:rsidRPr="00084B49" w:rsidRDefault="001D4B20" w:rsidP="001D4B20">
            <w:pPr>
              <w:jc w:val="both"/>
              <w:rPr>
                <w:rFonts w:cs="Arial"/>
                <w:i/>
                <w:color w:val="808080"/>
                <w:sz w:val="22"/>
                <w:szCs w:val="22"/>
              </w:rPr>
            </w:pPr>
            <w:r w:rsidRPr="00E2015F">
              <w:rPr>
                <w:rFonts w:cs="Arial"/>
                <w:i/>
                <w:sz w:val="22"/>
                <w:szCs w:val="22"/>
              </w:rPr>
              <w:t>X</w:t>
            </w:r>
          </w:p>
        </w:tc>
      </w:tr>
      <w:tr w:rsidR="001D4B20" w:rsidRPr="009F7CED" w14:paraId="25678869"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87E04D5" w14:textId="77777777" w:rsidR="001D4B20" w:rsidRDefault="001D4B20" w:rsidP="001D4B20">
            <w:pPr>
              <w:jc w:val="both"/>
              <w:rPr>
                <w:rFonts w:cs="Arial"/>
                <w:sz w:val="22"/>
                <w:szCs w:val="22"/>
              </w:rPr>
            </w:pPr>
            <w:r>
              <w:rPr>
                <w:rFonts w:cs="Arial"/>
                <w:sz w:val="22"/>
                <w:szCs w:val="22"/>
              </w:rPr>
              <w:t>Concepto(s) de Ministerio de Comercio, Industria y Turismo</w:t>
            </w:r>
          </w:p>
          <w:p w14:paraId="458C5F35" w14:textId="77777777" w:rsidR="001D4B20" w:rsidRPr="00084B49" w:rsidRDefault="001D4B20" w:rsidP="001D4B20">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352D4973" w14:textId="5AE59245" w:rsidR="001D4B20" w:rsidRDefault="001D4B20" w:rsidP="001D4B20">
            <w:pPr>
              <w:jc w:val="both"/>
              <w:rPr>
                <w:rFonts w:cs="Arial"/>
                <w:sz w:val="22"/>
                <w:szCs w:val="22"/>
              </w:rPr>
            </w:pPr>
            <w:r w:rsidRPr="00E2015F">
              <w:rPr>
                <w:rFonts w:cs="Arial"/>
                <w:i/>
                <w:sz w:val="22"/>
                <w:szCs w:val="22"/>
              </w:rPr>
              <w:t>No requiere</w:t>
            </w:r>
          </w:p>
        </w:tc>
      </w:tr>
      <w:tr w:rsidR="001D4B20" w:rsidRPr="009F7CED" w14:paraId="0132AD1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FE8F080" w14:textId="77777777" w:rsidR="001D4B20" w:rsidRDefault="001D4B20" w:rsidP="001D4B20">
            <w:pPr>
              <w:jc w:val="both"/>
              <w:rPr>
                <w:rFonts w:cs="Arial"/>
                <w:sz w:val="22"/>
                <w:szCs w:val="22"/>
              </w:rPr>
            </w:pPr>
            <w:r>
              <w:rPr>
                <w:rFonts w:cs="Arial"/>
                <w:sz w:val="22"/>
                <w:szCs w:val="22"/>
              </w:rPr>
              <w:t xml:space="preserve">Informe de observaciones y respuestas </w:t>
            </w:r>
          </w:p>
          <w:p w14:paraId="765F157F" w14:textId="77777777" w:rsidR="001D4B20" w:rsidRPr="00084B49" w:rsidRDefault="001D4B20" w:rsidP="001D4B20">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38C88F6A" w14:textId="342956B4" w:rsidR="001D4B20" w:rsidRDefault="001D4B20" w:rsidP="001D4B20">
            <w:pPr>
              <w:jc w:val="both"/>
              <w:rPr>
                <w:rFonts w:cs="Arial"/>
                <w:sz w:val="22"/>
                <w:szCs w:val="22"/>
              </w:rPr>
            </w:pPr>
            <w:r w:rsidRPr="00E2015F">
              <w:rPr>
                <w:rFonts w:cs="Arial"/>
                <w:i/>
                <w:sz w:val="22"/>
                <w:szCs w:val="22"/>
              </w:rPr>
              <w:t>X</w:t>
            </w:r>
          </w:p>
        </w:tc>
      </w:tr>
      <w:tr w:rsidR="001D4B20" w:rsidRPr="009F7CED" w14:paraId="29C24467"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0277EE3" w14:textId="77777777" w:rsidR="001D4B20" w:rsidRDefault="001D4B20" w:rsidP="001D4B20">
            <w:pPr>
              <w:jc w:val="both"/>
              <w:rPr>
                <w:rFonts w:cs="Arial"/>
                <w:sz w:val="22"/>
                <w:szCs w:val="22"/>
              </w:rPr>
            </w:pPr>
            <w:r>
              <w:rPr>
                <w:rFonts w:cs="Arial"/>
                <w:sz w:val="22"/>
                <w:szCs w:val="22"/>
              </w:rPr>
              <w:lastRenderedPageBreak/>
              <w:t>Concepto de Abogacía de la Competencia de la Superintendencia de Industria y Comercio</w:t>
            </w:r>
          </w:p>
          <w:p w14:paraId="563B8608" w14:textId="77777777" w:rsidR="001D4B20" w:rsidRPr="00084B49" w:rsidRDefault="001D4B20" w:rsidP="001D4B20">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4491D5C2" w14:textId="30F017F9" w:rsidR="001D4B20" w:rsidRDefault="001D4B20" w:rsidP="001D4B20">
            <w:pPr>
              <w:jc w:val="both"/>
              <w:rPr>
                <w:rFonts w:cs="Arial"/>
                <w:sz w:val="22"/>
                <w:szCs w:val="22"/>
              </w:rPr>
            </w:pPr>
            <w:r w:rsidRPr="00E2015F">
              <w:rPr>
                <w:rFonts w:cs="Arial"/>
                <w:i/>
                <w:sz w:val="22"/>
                <w:szCs w:val="22"/>
              </w:rPr>
              <w:t>No requiere</w:t>
            </w:r>
          </w:p>
        </w:tc>
      </w:tr>
      <w:tr w:rsidR="001D4B20" w:rsidRPr="009F7CED" w14:paraId="3AECE7EB"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CC6DD7D" w14:textId="77777777" w:rsidR="001D4B20" w:rsidRDefault="001D4B20" w:rsidP="001D4B20">
            <w:pPr>
              <w:jc w:val="both"/>
              <w:rPr>
                <w:rFonts w:cs="Arial"/>
                <w:sz w:val="22"/>
                <w:szCs w:val="22"/>
              </w:rPr>
            </w:pPr>
            <w:r>
              <w:rPr>
                <w:rFonts w:cs="Arial"/>
                <w:sz w:val="22"/>
                <w:szCs w:val="22"/>
              </w:rPr>
              <w:t>Concepto de aprobación nuevos trámites del Departamento Administrativo de la Función Pública</w:t>
            </w:r>
          </w:p>
          <w:p w14:paraId="142BD57C" w14:textId="77777777" w:rsidR="001D4B20" w:rsidRDefault="001D4B20" w:rsidP="001D4B20">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70A9BE0D" w14:textId="05D48A78" w:rsidR="001D4B20" w:rsidRDefault="001D4B20" w:rsidP="001D4B20">
            <w:pPr>
              <w:jc w:val="both"/>
              <w:rPr>
                <w:rFonts w:cs="Arial"/>
                <w:sz w:val="22"/>
                <w:szCs w:val="22"/>
              </w:rPr>
            </w:pPr>
            <w:r w:rsidRPr="00E2015F">
              <w:rPr>
                <w:rFonts w:cs="Arial"/>
                <w:i/>
                <w:sz w:val="22"/>
                <w:szCs w:val="22"/>
              </w:rPr>
              <w:t>No requiere</w:t>
            </w:r>
          </w:p>
        </w:tc>
      </w:tr>
      <w:tr w:rsidR="001D4B20" w:rsidRPr="009F7CED" w14:paraId="7F73EA6C"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D89EB21" w14:textId="77777777" w:rsidR="001D4B20" w:rsidRDefault="001D4B20" w:rsidP="001D4B20">
            <w:pPr>
              <w:jc w:val="both"/>
              <w:rPr>
                <w:rFonts w:cs="Arial"/>
                <w:sz w:val="22"/>
                <w:szCs w:val="22"/>
              </w:rPr>
            </w:pPr>
            <w:r>
              <w:rPr>
                <w:rFonts w:cs="Arial"/>
                <w:sz w:val="22"/>
                <w:szCs w:val="22"/>
              </w:rPr>
              <w:t xml:space="preserve">Otro </w:t>
            </w:r>
          </w:p>
          <w:p w14:paraId="1F0E12C7" w14:textId="77777777" w:rsidR="001D4B20" w:rsidRDefault="001D4B20" w:rsidP="001D4B20">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79F32233" w14:textId="45D0DD5C" w:rsidR="001D4B20" w:rsidRDefault="001D4B20" w:rsidP="001D4B20">
            <w:pPr>
              <w:jc w:val="both"/>
              <w:rPr>
                <w:rFonts w:cs="Arial"/>
                <w:sz w:val="22"/>
                <w:szCs w:val="22"/>
              </w:rPr>
            </w:pPr>
            <w:r w:rsidRPr="00E2015F">
              <w:rPr>
                <w:rFonts w:cs="Arial"/>
                <w:i/>
                <w:sz w:val="22"/>
                <w:szCs w:val="22"/>
              </w:rPr>
              <w:t>Acta de la Mesa de Equidad del 08 de noviembre de 2022</w:t>
            </w:r>
          </w:p>
        </w:tc>
      </w:tr>
    </w:tbl>
    <w:p w14:paraId="1CF520A8" w14:textId="77777777" w:rsidR="00301DC2" w:rsidRPr="009F7CED" w:rsidRDefault="00301DC2" w:rsidP="00587695">
      <w:pPr>
        <w:ind w:right="-377"/>
        <w:jc w:val="both"/>
        <w:rPr>
          <w:rFonts w:cs="Arial"/>
          <w:sz w:val="22"/>
          <w:szCs w:val="22"/>
        </w:rPr>
      </w:pPr>
    </w:p>
    <w:p w14:paraId="2EA5A1CE" w14:textId="77777777" w:rsidR="00B5651B" w:rsidRDefault="00B5651B" w:rsidP="00696582">
      <w:pPr>
        <w:ind w:left="-1276" w:right="-377" w:firstLine="283"/>
        <w:jc w:val="both"/>
        <w:rPr>
          <w:rFonts w:cs="Arial"/>
          <w:b/>
          <w:sz w:val="22"/>
          <w:szCs w:val="22"/>
        </w:rPr>
      </w:pPr>
    </w:p>
    <w:p w14:paraId="02F28468" w14:textId="1B4B310E"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2CCE462D" w14:textId="77777777" w:rsidR="00B66D03" w:rsidRPr="009F7CED" w:rsidRDefault="00B66D03" w:rsidP="00086B16">
      <w:pPr>
        <w:ind w:left="-1276" w:right="-377"/>
        <w:jc w:val="both"/>
        <w:rPr>
          <w:rFonts w:cs="Arial"/>
          <w:sz w:val="22"/>
          <w:szCs w:val="22"/>
        </w:rPr>
      </w:pPr>
    </w:p>
    <w:p w14:paraId="7BCF074C" w14:textId="77777777" w:rsidR="00014D67" w:rsidRPr="009F7CED" w:rsidRDefault="00014D67" w:rsidP="00B5651B">
      <w:pPr>
        <w:ind w:right="-377"/>
        <w:jc w:val="both"/>
        <w:rPr>
          <w:rFonts w:cs="Arial"/>
          <w:sz w:val="22"/>
          <w:szCs w:val="22"/>
        </w:rPr>
      </w:pPr>
    </w:p>
    <w:p w14:paraId="036FAEE9" w14:textId="3E334B82" w:rsidR="00D05B67" w:rsidRDefault="002E598F" w:rsidP="00D03C9C">
      <w:pPr>
        <w:pStyle w:val="Listavistosa-nfasis11"/>
        <w:jc w:val="both"/>
        <w:rPr>
          <w:rFonts w:ascii="Arial" w:hAnsi="Arial" w:cs="Arial"/>
          <w:b/>
        </w:rPr>
      </w:pPr>
      <w:r>
        <w:rPr>
          <w:rFonts w:ascii="Arial" w:hAnsi="Arial" w:cs="Arial"/>
          <w:b/>
        </w:rPr>
        <w:t>Lucy Edrey Acevedo</w:t>
      </w:r>
    </w:p>
    <w:p w14:paraId="50E4A17A" w14:textId="7630860D" w:rsidR="002E598F" w:rsidRDefault="002E598F" w:rsidP="00D03C9C">
      <w:pPr>
        <w:pStyle w:val="Listavistosa-nfasis11"/>
        <w:jc w:val="both"/>
        <w:rPr>
          <w:rFonts w:ascii="Arial" w:hAnsi="Arial" w:cs="Arial"/>
          <w:b/>
        </w:rPr>
      </w:pPr>
      <w:r>
        <w:rPr>
          <w:rFonts w:ascii="Arial" w:hAnsi="Arial" w:cs="Arial"/>
          <w:b/>
        </w:rPr>
        <w:t>Directora Oficina Asesora Jurídica</w:t>
      </w:r>
    </w:p>
    <w:p w14:paraId="59B3CB51" w14:textId="77777777" w:rsidR="002E598F" w:rsidRDefault="002E598F" w:rsidP="00D03C9C">
      <w:pPr>
        <w:pStyle w:val="Listavistosa-nfasis11"/>
        <w:jc w:val="both"/>
        <w:rPr>
          <w:rFonts w:ascii="Arial" w:hAnsi="Arial" w:cs="Arial"/>
          <w:b/>
        </w:rPr>
      </w:pPr>
    </w:p>
    <w:p w14:paraId="400E0454" w14:textId="77777777" w:rsidR="002E598F" w:rsidRDefault="002E598F" w:rsidP="00D03C9C">
      <w:pPr>
        <w:pStyle w:val="Listavistosa-nfasis11"/>
        <w:jc w:val="both"/>
        <w:rPr>
          <w:rFonts w:ascii="Arial" w:hAnsi="Arial" w:cs="Arial"/>
          <w:b/>
        </w:rPr>
      </w:pPr>
    </w:p>
    <w:p w14:paraId="0296165B" w14:textId="465211CA" w:rsidR="00D05B67" w:rsidRDefault="00D05B67" w:rsidP="00696582">
      <w:pPr>
        <w:pStyle w:val="Listavistosa-nfasis11"/>
        <w:rPr>
          <w:rFonts w:ascii="Arial" w:hAnsi="Arial" w:cs="Arial"/>
          <w:b/>
        </w:rPr>
      </w:pPr>
    </w:p>
    <w:p w14:paraId="55814015" w14:textId="5A844D54" w:rsidR="00D03C9C" w:rsidRDefault="00D03C9C" w:rsidP="00696582">
      <w:pPr>
        <w:pStyle w:val="Listavistosa-nfasis11"/>
        <w:rPr>
          <w:rFonts w:ascii="Arial" w:hAnsi="Arial" w:cs="Arial"/>
          <w:b/>
        </w:rPr>
      </w:pPr>
    </w:p>
    <w:p w14:paraId="76A61192" w14:textId="6AF0707C" w:rsidR="002E1DC6" w:rsidRDefault="002E1DC6" w:rsidP="002E1DC6">
      <w:pPr>
        <w:pStyle w:val="Listavistosa-nfasis11"/>
        <w:ind w:left="0" w:firstLine="708"/>
        <w:rPr>
          <w:rFonts w:ascii="Arial" w:hAnsi="Arial" w:cs="Arial"/>
          <w:b/>
        </w:rPr>
      </w:pPr>
      <w:r>
        <w:rPr>
          <w:rFonts w:ascii="Arial" w:hAnsi="Arial" w:cs="Arial"/>
          <w:b/>
        </w:rPr>
        <w:t xml:space="preserve">Yohanna </w:t>
      </w:r>
      <w:proofErr w:type="spellStart"/>
      <w:r>
        <w:rPr>
          <w:rFonts w:ascii="Arial" w:hAnsi="Arial" w:cs="Arial"/>
          <w:b/>
        </w:rPr>
        <w:t>Pllar</w:t>
      </w:r>
      <w:proofErr w:type="spellEnd"/>
      <w:r>
        <w:rPr>
          <w:rFonts w:ascii="Arial" w:hAnsi="Arial" w:cs="Arial"/>
          <w:b/>
        </w:rPr>
        <w:t xml:space="preserve"> Cubillos Santos</w:t>
      </w:r>
    </w:p>
    <w:p w14:paraId="52E44B8B" w14:textId="1195149D" w:rsidR="006779DA" w:rsidRDefault="00D03C9C" w:rsidP="002E1DC6">
      <w:pPr>
        <w:pStyle w:val="Listavistosa-nfasis11"/>
        <w:ind w:left="0" w:firstLine="708"/>
        <w:rPr>
          <w:rFonts w:ascii="Arial" w:hAnsi="Arial" w:cs="Arial"/>
          <w:b/>
        </w:rPr>
      </w:pPr>
      <w:r>
        <w:rPr>
          <w:rFonts w:ascii="Arial" w:hAnsi="Arial" w:cs="Arial"/>
          <w:b/>
        </w:rPr>
        <w:t>Director</w:t>
      </w:r>
      <w:r w:rsidR="002E1DC6">
        <w:rPr>
          <w:rFonts w:ascii="Arial" w:hAnsi="Arial" w:cs="Arial"/>
          <w:b/>
        </w:rPr>
        <w:t>a</w:t>
      </w:r>
      <w:r>
        <w:rPr>
          <w:rFonts w:ascii="Arial" w:hAnsi="Arial" w:cs="Arial"/>
          <w:b/>
        </w:rPr>
        <w:t xml:space="preserve"> de la Dirección de Transferencias Monetarias</w:t>
      </w:r>
    </w:p>
    <w:p w14:paraId="1F448568" w14:textId="22BEAD5E" w:rsidR="001D4B20" w:rsidRDefault="001D4B20" w:rsidP="002E1DC6">
      <w:pPr>
        <w:pStyle w:val="Listavistosa-nfasis11"/>
        <w:ind w:left="0" w:firstLine="708"/>
        <w:rPr>
          <w:rFonts w:ascii="Arial" w:hAnsi="Arial" w:cs="Arial"/>
          <w:b/>
        </w:rPr>
      </w:pPr>
    </w:p>
    <w:p w14:paraId="080DA6AD" w14:textId="0EBFDED1" w:rsidR="001D4B20" w:rsidRDefault="001D4B20" w:rsidP="002E1DC6">
      <w:pPr>
        <w:pStyle w:val="Listavistosa-nfasis11"/>
        <w:ind w:left="0" w:firstLine="708"/>
        <w:rPr>
          <w:rFonts w:ascii="Arial" w:hAnsi="Arial" w:cs="Arial"/>
          <w:b/>
        </w:rPr>
      </w:pPr>
    </w:p>
    <w:p w14:paraId="617753AC" w14:textId="77777777" w:rsidR="001D4B20" w:rsidRDefault="001D4B20" w:rsidP="001D4B20">
      <w:pPr>
        <w:rPr>
          <w:rFonts w:cs="Arial"/>
          <w:i/>
          <w:sz w:val="21"/>
          <w:szCs w:val="21"/>
          <w:lang w:val="es-CO"/>
        </w:rPr>
      </w:pPr>
      <w:r>
        <w:rPr>
          <w:rFonts w:cs="Arial"/>
          <w:i/>
          <w:sz w:val="21"/>
          <w:szCs w:val="21"/>
          <w:lang w:val="es-CO"/>
        </w:rPr>
        <w:t>Proyectó: Alejandro Rodríguez Villamizar / GIT Pilotaje y Escalamiento</w:t>
      </w:r>
    </w:p>
    <w:p w14:paraId="39D1E166" w14:textId="77777777" w:rsidR="001D4B20" w:rsidRDefault="001D4B20" w:rsidP="001D4B20">
      <w:pPr>
        <w:rPr>
          <w:rFonts w:cs="Arial"/>
          <w:i/>
          <w:sz w:val="21"/>
          <w:szCs w:val="21"/>
          <w:lang w:val="es-CO"/>
        </w:rPr>
      </w:pPr>
      <w:r>
        <w:rPr>
          <w:rFonts w:cs="Arial"/>
          <w:i/>
          <w:sz w:val="21"/>
          <w:szCs w:val="21"/>
          <w:lang w:val="es-CO"/>
        </w:rPr>
        <w:t>Proyectó: Jairo Fernando Contreras Gutierrez / Oficina Asesora de Planeación</w:t>
      </w:r>
    </w:p>
    <w:p w14:paraId="43C0DFD2" w14:textId="77777777" w:rsidR="001D4B20" w:rsidRDefault="001D4B20" w:rsidP="001D4B20">
      <w:pPr>
        <w:rPr>
          <w:rFonts w:cs="Arial"/>
          <w:i/>
          <w:sz w:val="21"/>
          <w:szCs w:val="21"/>
          <w:lang w:val="es-CO"/>
        </w:rPr>
      </w:pPr>
      <w:r>
        <w:rPr>
          <w:rFonts w:cs="Arial"/>
          <w:i/>
          <w:sz w:val="21"/>
          <w:szCs w:val="21"/>
          <w:lang w:val="es-CO"/>
        </w:rPr>
        <w:t>Proyectó: Nury Janeth Vargas / GIT Familias en Acción</w:t>
      </w:r>
    </w:p>
    <w:p w14:paraId="595745FE" w14:textId="77777777" w:rsidR="001D4B20" w:rsidRDefault="001D4B20" w:rsidP="001D4B20">
      <w:pPr>
        <w:rPr>
          <w:rFonts w:cs="Arial"/>
          <w:i/>
          <w:sz w:val="21"/>
          <w:szCs w:val="21"/>
          <w:lang w:val="es-CO"/>
        </w:rPr>
      </w:pPr>
      <w:r>
        <w:rPr>
          <w:rFonts w:cs="Arial"/>
          <w:i/>
          <w:sz w:val="21"/>
          <w:szCs w:val="21"/>
          <w:lang w:val="es-CO"/>
        </w:rPr>
        <w:t>Proyectó: Guido Manuel Barliza / GIT Antifraudes</w:t>
      </w:r>
    </w:p>
    <w:p w14:paraId="0424FECA" w14:textId="77777777" w:rsidR="001D4B20" w:rsidRDefault="001D4B20" w:rsidP="001D4B20">
      <w:pPr>
        <w:rPr>
          <w:rFonts w:cs="Arial"/>
          <w:i/>
          <w:sz w:val="21"/>
          <w:szCs w:val="21"/>
          <w:lang w:val="es-CO"/>
        </w:rPr>
      </w:pPr>
      <w:r>
        <w:rPr>
          <w:rFonts w:cs="Arial"/>
          <w:i/>
          <w:sz w:val="21"/>
          <w:szCs w:val="21"/>
          <w:lang w:val="es-CO"/>
        </w:rPr>
        <w:t>Proyectó: Jorge Alexander Camargo Franco / despacho Dirección de Transferencias Monetarias</w:t>
      </w:r>
    </w:p>
    <w:p w14:paraId="71D3B298" w14:textId="77777777" w:rsidR="001D4B20" w:rsidRPr="0075705D" w:rsidRDefault="001D4B20" w:rsidP="002E1DC6">
      <w:pPr>
        <w:pStyle w:val="Listavistosa-nfasis11"/>
        <w:ind w:left="0" w:firstLine="708"/>
        <w:rPr>
          <w:rFonts w:ascii="Arial" w:hAnsi="Arial" w:cs="Arial"/>
          <w:b/>
        </w:rPr>
      </w:pPr>
    </w:p>
    <w:sectPr w:rsidR="001D4B20" w:rsidRPr="0075705D" w:rsidSect="00696582">
      <w:headerReference w:type="default" r:id="rId8"/>
      <w:footerReference w:type="default" r:id="rId9"/>
      <w:headerReference w:type="first" r:id="rId10"/>
      <w:type w:val="continuous"/>
      <w:pgSz w:w="12240" w:h="15840" w:code="1"/>
      <w:pgMar w:top="1616" w:right="1701" w:bottom="1115" w:left="1701"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6091" w16cex:dateUtc="2022-11-16T1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D50E" w14:textId="77777777" w:rsidR="002469E4" w:rsidRDefault="002469E4">
      <w:r>
        <w:separator/>
      </w:r>
    </w:p>
  </w:endnote>
  <w:endnote w:type="continuationSeparator" w:id="0">
    <w:p w14:paraId="50B69168" w14:textId="77777777" w:rsidR="002469E4" w:rsidRDefault="0024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AE0A"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6FA5B6F5"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F155" w14:textId="77777777" w:rsidR="002469E4" w:rsidRDefault="002469E4">
      <w:r>
        <w:separator/>
      </w:r>
    </w:p>
  </w:footnote>
  <w:footnote w:type="continuationSeparator" w:id="0">
    <w:p w14:paraId="75F1546A" w14:textId="77777777" w:rsidR="002469E4" w:rsidRDefault="0024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CA30"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62"/>
    </w:tblGrid>
    <w:tr w:rsidR="00696582" w14:paraId="0111D92F" w14:textId="77777777" w:rsidTr="001447C1">
      <w:tc>
        <w:tcPr>
          <w:tcW w:w="4253" w:type="dxa"/>
          <w:shd w:val="clear" w:color="auto" w:fill="auto"/>
        </w:tcPr>
        <w:p w14:paraId="16D99478" w14:textId="4CF530A7" w:rsidR="00696582" w:rsidRDefault="00C454B8" w:rsidP="001447C1">
          <w:pPr>
            <w:pStyle w:val="Encabezado"/>
          </w:pPr>
          <w:r>
            <w:rPr>
              <w:noProof/>
            </w:rPr>
            <w:drawing>
              <wp:inline distT="0" distB="0" distL="0" distR="0" wp14:anchorId="7BD21A1A" wp14:editId="5C3D83D2">
                <wp:extent cx="2743200" cy="475513"/>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229" cy="480198"/>
                        </a:xfrm>
                        <a:prstGeom prst="rect">
                          <a:avLst/>
                        </a:prstGeom>
                        <a:noFill/>
                        <a:ln>
                          <a:noFill/>
                        </a:ln>
                      </pic:spPr>
                    </pic:pic>
                  </a:graphicData>
                </a:graphic>
              </wp:inline>
            </w:drawing>
          </w:r>
        </w:p>
      </w:tc>
      <w:tc>
        <w:tcPr>
          <w:tcW w:w="6545" w:type="dxa"/>
          <w:shd w:val="clear" w:color="auto" w:fill="auto"/>
          <w:vAlign w:val="center"/>
        </w:tcPr>
        <w:p w14:paraId="34216AFA"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24C583D1"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437"/>
    </w:tblGrid>
    <w:tr w:rsidR="00350767" w14:paraId="00D2853E" w14:textId="77777777" w:rsidTr="00FD3D04">
      <w:tc>
        <w:tcPr>
          <w:tcW w:w="4253" w:type="dxa"/>
          <w:shd w:val="clear" w:color="auto" w:fill="auto"/>
        </w:tcPr>
        <w:p w14:paraId="24FF4413" w14:textId="737F2EFB" w:rsidR="00350767" w:rsidRDefault="00C454B8">
          <w:pPr>
            <w:pStyle w:val="Encabezado"/>
          </w:pPr>
          <w:r>
            <w:rPr>
              <w:noProof/>
            </w:rPr>
            <w:drawing>
              <wp:inline distT="0" distB="0" distL="0" distR="0" wp14:anchorId="55073C5D" wp14:editId="14F39C11">
                <wp:extent cx="2632363" cy="45630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214" cy="468928"/>
                        </a:xfrm>
                        <a:prstGeom prst="rect">
                          <a:avLst/>
                        </a:prstGeom>
                        <a:noFill/>
                        <a:ln>
                          <a:noFill/>
                        </a:ln>
                      </pic:spPr>
                    </pic:pic>
                  </a:graphicData>
                </a:graphic>
              </wp:inline>
            </w:drawing>
          </w:r>
        </w:p>
      </w:tc>
      <w:tc>
        <w:tcPr>
          <w:tcW w:w="6545" w:type="dxa"/>
          <w:shd w:val="clear" w:color="auto" w:fill="auto"/>
          <w:vAlign w:val="center"/>
        </w:tcPr>
        <w:p w14:paraId="6FE35F79"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274E5EBC"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F42"/>
    <w:multiLevelType w:val="hybridMultilevel"/>
    <w:tmpl w:val="406012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F2EEC"/>
    <w:multiLevelType w:val="hybridMultilevel"/>
    <w:tmpl w:val="38BCED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9401DDA">
      <w:start w:val="1"/>
      <w:numFmt w:val="bullet"/>
      <w:lvlText w:val="•"/>
      <w:lvlJc w:val="left"/>
      <w:pPr>
        <w:ind w:left="2508" w:hanging="708"/>
      </w:pPr>
      <w:rPr>
        <w:rFonts w:ascii="Arial" w:eastAsia="Times New Roman" w:hAnsi="Arial" w:cs="Aria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470811"/>
    <w:multiLevelType w:val="multilevel"/>
    <w:tmpl w:val="6AA6C1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7857D5F"/>
    <w:multiLevelType w:val="hybridMultilevel"/>
    <w:tmpl w:val="582878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D54C09"/>
    <w:multiLevelType w:val="hybridMultilevel"/>
    <w:tmpl w:val="7206A8AC"/>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F42E29"/>
    <w:multiLevelType w:val="hybridMultilevel"/>
    <w:tmpl w:val="7104326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784544"/>
    <w:multiLevelType w:val="hybridMultilevel"/>
    <w:tmpl w:val="A464137E"/>
    <w:lvl w:ilvl="0" w:tplc="240A0001">
      <w:start w:val="1"/>
      <w:numFmt w:val="bullet"/>
      <w:lvlText w:val=""/>
      <w:lvlJc w:val="left"/>
      <w:pPr>
        <w:ind w:left="931" w:hanging="360"/>
      </w:pPr>
      <w:rPr>
        <w:rFonts w:ascii="Symbol" w:hAnsi="Symbol" w:hint="default"/>
      </w:rPr>
    </w:lvl>
    <w:lvl w:ilvl="1" w:tplc="240A0003">
      <w:start w:val="1"/>
      <w:numFmt w:val="bullet"/>
      <w:lvlText w:val="o"/>
      <w:lvlJc w:val="left"/>
      <w:pPr>
        <w:ind w:left="1651" w:hanging="360"/>
      </w:pPr>
      <w:rPr>
        <w:rFonts w:ascii="Courier New" w:hAnsi="Courier New" w:cs="Courier New" w:hint="default"/>
      </w:rPr>
    </w:lvl>
    <w:lvl w:ilvl="2" w:tplc="240A0005">
      <w:start w:val="1"/>
      <w:numFmt w:val="bullet"/>
      <w:lvlText w:val=""/>
      <w:lvlJc w:val="left"/>
      <w:pPr>
        <w:ind w:left="2371" w:hanging="360"/>
      </w:pPr>
      <w:rPr>
        <w:rFonts w:ascii="Wingdings" w:hAnsi="Wingdings" w:hint="default"/>
      </w:rPr>
    </w:lvl>
    <w:lvl w:ilvl="3" w:tplc="240A0001">
      <w:start w:val="1"/>
      <w:numFmt w:val="bullet"/>
      <w:lvlText w:val=""/>
      <w:lvlJc w:val="left"/>
      <w:pPr>
        <w:ind w:left="3091" w:hanging="360"/>
      </w:pPr>
      <w:rPr>
        <w:rFonts w:ascii="Symbol" w:hAnsi="Symbol" w:hint="default"/>
      </w:rPr>
    </w:lvl>
    <w:lvl w:ilvl="4" w:tplc="240A0003">
      <w:start w:val="1"/>
      <w:numFmt w:val="bullet"/>
      <w:lvlText w:val="o"/>
      <w:lvlJc w:val="left"/>
      <w:pPr>
        <w:ind w:left="3811" w:hanging="360"/>
      </w:pPr>
      <w:rPr>
        <w:rFonts w:ascii="Courier New" w:hAnsi="Courier New" w:cs="Courier New" w:hint="default"/>
      </w:rPr>
    </w:lvl>
    <w:lvl w:ilvl="5" w:tplc="240A0005">
      <w:start w:val="1"/>
      <w:numFmt w:val="bullet"/>
      <w:lvlText w:val=""/>
      <w:lvlJc w:val="left"/>
      <w:pPr>
        <w:ind w:left="4531" w:hanging="360"/>
      </w:pPr>
      <w:rPr>
        <w:rFonts w:ascii="Wingdings" w:hAnsi="Wingdings" w:hint="default"/>
      </w:rPr>
    </w:lvl>
    <w:lvl w:ilvl="6" w:tplc="240A0001">
      <w:start w:val="1"/>
      <w:numFmt w:val="bullet"/>
      <w:lvlText w:val=""/>
      <w:lvlJc w:val="left"/>
      <w:pPr>
        <w:ind w:left="5251" w:hanging="360"/>
      </w:pPr>
      <w:rPr>
        <w:rFonts w:ascii="Symbol" w:hAnsi="Symbol" w:hint="default"/>
      </w:rPr>
    </w:lvl>
    <w:lvl w:ilvl="7" w:tplc="240A0003">
      <w:start w:val="1"/>
      <w:numFmt w:val="bullet"/>
      <w:lvlText w:val="o"/>
      <w:lvlJc w:val="left"/>
      <w:pPr>
        <w:ind w:left="5971" w:hanging="360"/>
      </w:pPr>
      <w:rPr>
        <w:rFonts w:ascii="Courier New" w:hAnsi="Courier New" w:cs="Courier New" w:hint="default"/>
      </w:rPr>
    </w:lvl>
    <w:lvl w:ilvl="8" w:tplc="240A0005">
      <w:start w:val="1"/>
      <w:numFmt w:val="bullet"/>
      <w:lvlText w:val=""/>
      <w:lvlJc w:val="left"/>
      <w:pPr>
        <w:ind w:left="6691" w:hanging="360"/>
      </w:pPr>
      <w:rPr>
        <w:rFonts w:ascii="Wingdings" w:hAnsi="Wingdings" w:hint="default"/>
      </w:rPr>
    </w:lvl>
  </w:abstractNum>
  <w:abstractNum w:abstractNumId="9" w15:restartNumberingAfterBreak="0">
    <w:nsid w:val="5FF0511C"/>
    <w:multiLevelType w:val="hybridMultilevel"/>
    <w:tmpl w:val="DEF4C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5059FA"/>
    <w:multiLevelType w:val="hybridMultilevel"/>
    <w:tmpl w:val="27928B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D4B0B33"/>
    <w:multiLevelType w:val="hybridMultilevel"/>
    <w:tmpl w:val="D9680C6E"/>
    <w:lvl w:ilvl="0" w:tplc="240A0001">
      <w:start w:val="1"/>
      <w:numFmt w:val="bullet"/>
      <w:lvlText w:val=""/>
      <w:lvlJc w:val="left"/>
      <w:pPr>
        <w:ind w:left="931" w:hanging="360"/>
      </w:pPr>
      <w:rPr>
        <w:rFonts w:ascii="Symbol" w:hAnsi="Symbol" w:hint="default"/>
      </w:rPr>
    </w:lvl>
    <w:lvl w:ilvl="1" w:tplc="240A0003" w:tentative="1">
      <w:start w:val="1"/>
      <w:numFmt w:val="bullet"/>
      <w:lvlText w:val="o"/>
      <w:lvlJc w:val="left"/>
      <w:pPr>
        <w:ind w:left="1651" w:hanging="360"/>
      </w:pPr>
      <w:rPr>
        <w:rFonts w:ascii="Courier New" w:hAnsi="Courier New" w:cs="Courier New" w:hint="default"/>
      </w:rPr>
    </w:lvl>
    <w:lvl w:ilvl="2" w:tplc="240A0005" w:tentative="1">
      <w:start w:val="1"/>
      <w:numFmt w:val="bullet"/>
      <w:lvlText w:val=""/>
      <w:lvlJc w:val="left"/>
      <w:pPr>
        <w:ind w:left="2371" w:hanging="360"/>
      </w:pPr>
      <w:rPr>
        <w:rFonts w:ascii="Wingdings" w:hAnsi="Wingdings" w:hint="default"/>
      </w:rPr>
    </w:lvl>
    <w:lvl w:ilvl="3" w:tplc="240A0001" w:tentative="1">
      <w:start w:val="1"/>
      <w:numFmt w:val="bullet"/>
      <w:lvlText w:val=""/>
      <w:lvlJc w:val="left"/>
      <w:pPr>
        <w:ind w:left="3091" w:hanging="360"/>
      </w:pPr>
      <w:rPr>
        <w:rFonts w:ascii="Symbol" w:hAnsi="Symbol" w:hint="default"/>
      </w:rPr>
    </w:lvl>
    <w:lvl w:ilvl="4" w:tplc="240A0003" w:tentative="1">
      <w:start w:val="1"/>
      <w:numFmt w:val="bullet"/>
      <w:lvlText w:val="o"/>
      <w:lvlJc w:val="left"/>
      <w:pPr>
        <w:ind w:left="3811" w:hanging="360"/>
      </w:pPr>
      <w:rPr>
        <w:rFonts w:ascii="Courier New" w:hAnsi="Courier New" w:cs="Courier New" w:hint="default"/>
      </w:rPr>
    </w:lvl>
    <w:lvl w:ilvl="5" w:tplc="240A0005" w:tentative="1">
      <w:start w:val="1"/>
      <w:numFmt w:val="bullet"/>
      <w:lvlText w:val=""/>
      <w:lvlJc w:val="left"/>
      <w:pPr>
        <w:ind w:left="4531" w:hanging="360"/>
      </w:pPr>
      <w:rPr>
        <w:rFonts w:ascii="Wingdings" w:hAnsi="Wingdings" w:hint="default"/>
      </w:rPr>
    </w:lvl>
    <w:lvl w:ilvl="6" w:tplc="240A0001" w:tentative="1">
      <w:start w:val="1"/>
      <w:numFmt w:val="bullet"/>
      <w:lvlText w:val=""/>
      <w:lvlJc w:val="left"/>
      <w:pPr>
        <w:ind w:left="5251" w:hanging="360"/>
      </w:pPr>
      <w:rPr>
        <w:rFonts w:ascii="Symbol" w:hAnsi="Symbol" w:hint="default"/>
      </w:rPr>
    </w:lvl>
    <w:lvl w:ilvl="7" w:tplc="240A0003" w:tentative="1">
      <w:start w:val="1"/>
      <w:numFmt w:val="bullet"/>
      <w:lvlText w:val="o"/>
      <w:lvlJc w:val="left"/>
      <w:pPr>
        <w:ind w:left="5971" w:hanging="360"/>
      </w:pPr>
      <w:rPr>
        <w:rFonts w:ascii="Courier New" w:hAnsi="Courier New" w:cs="Courier New" w:hint="default"/>
      </w:rPr>
    </w:lvl>
    <w:lvl w:ilvl="8" w:tplc="240A0005" w:tentative="1">
      <w:start w:val="1"/>
      <w:numFmt w:val="bullet"/>
      <w:lvlText w:val=""/>
      <w:lvlJc w:val="left"/>
      <w:pPr>
        <w:ind w:left="6691"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6"/>
  </w:num>
  <w:num w:numId="6">
    <w:abstractNumId w:val="0"/>
  </w:num>
  <w:num w:numId="7">
    <w:abstractNumId w:val="5"/>
  </w:num>
  <w:num w:numId="8">
    <w:abstractNumId w:val="10"/>
  </w:num>
  <w:num w:numId="9">
    <w:abstractNumId w:val="7"/>
  </w:num>
  <w:num w:numId="10">
    <w:abstractNumId w:val="1"/>
  </w:num>
  <w:num w:numId="11">
    <w:abstractNumId w:val="3"/>
  </w:num>
  <w:num w:numId="12">
    <w:abstractNumId w:val="8"/>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64E"/>
    <w:rsid w:val="00013C42"/>
    <w:rsid w:val="00014D67"/>
    <w:rsid w:val="00016A94"/>
    <w:rsid w:val="0002009F"/>
    <w:rsid w:val="00021FCC"/>
    <w:rsid w:val="00024F34"/>
    <w:rsid w:val="0002546A"/>
    <w:rsid w:val="00032CBF"/>
    <w:rsid w:val="00037EBD"/>
    <w:rsid w:val="00040BCD"/>
    <w:rsid w:val="0004205E"/>
    <w:rsid w:val="00046868"/>
    <w:rsid w:val="00047A6E"/>
    <w:rsid w:val="00050524"/>
    <w:rsid w:val="000633FC"/>
    <w:rsid w:val="00066463"/>
    <w:rsid w:val="0007636F"/>
    <w:rsid w:val="00081CEE"/>
    <w:rsid w:val="00084B49"/>
    <w:rsid w:val="00086B16"/>
    <w:rsid w:val="00092C0A"/>
    <w:rsid w:val="00094D9F"/>
    <w:rsid w:val="000A35DA"/>
    <w:rsid w:val="000A3E34"/>
    <w:rsid w:val="000B30A6"/>
    <w:rsid w:val="000B39C5"/>
    <w:rsid w:val="000B50F1"/>
    <w:rsid w:val="000C41BE"/>
    <w:rsid w:val="000C614C"/>
    <w:rsid w:val="000C6C52"/>
    <w:rsid w:val="000D1904"/>
    <w:rsid w:val="000D2DA8"/>
    <w:rsid w:val="000D3B1A"/>
    <w:rsid w:val="000D512E"/>
    <w:rsid w:val="000E0152"/>
    <w:rsid w:val="000E370D"/>
    <w:rsid w:val="000E65A4"/>
    <w:rsid w:val="000E7993"/>
    <w:rsid w:val="000F119B"/>
    <w:rsid w:val="000F5C90"/>
    <w:rsid w:val="00105533"/>
    <w:rsid w:val="001072FB"/>
    <w:rsid w:val="00116659"/>
    <w:rsid w:val="001175AA"/>
    <w:rsid w:val="00125A3A"/>
    <w:rsid w:val="00126916"/>
    <w:rsid w:val="00126980"/>
    <w:rsid w:val="001303DD"/>
    <w:rsid w:val="001348DA"/>
    <w:rsid w:val="00134B8C"/>
    <w:rsid w:val="001365B5"/>
    <w:rsid w:val="00136CD0"/>
    <w:rsid w:val="0013737F"/>
    <w:rsid w:val="00142BF2"/>
    <w:rsid w:val="001447C1"/>
    <w:rsid w:val="001455E7"/>
    <w:rsid w:val="00145BCA"/>
    <w:rsid w:val="00145F4F"/>
    <w:rsid w:val="0015216F"/>
    <w:rsid w:val="00153523"/>
    <w:rsid w:val="00157729"/>
    <w:rsid w:val="00162963"/>
    <w:rsid w:val="00164587"/>
    <w:rsid w:val="001665A3"/>
    <w:rsid w:val="001743EF"/>
    <w:rsid w:val="00174A31"/>
    <w:rsid w:val="00177232"/>
    <w:rsid w:val="00187186"/>
    <w:rsid w:val="0019385B"/>
    <w:rsid w:val="001978EB"/>
    <w:rsid w:val="001A2AF1"/>
    <w:rsid w:val="001A6793"/>
    <w:rsid w:val="001B04BF"/>
    <w:rsid w:val="001C013E"/>
    <w:rsid w:val="001C1B69"/>
    <w:rsid w:val="001D1743"/>
    <w:rsid w:val="001D17CF"/>
    <w:rsid w:val="001D4B20"/>
    <w:rsid w:val="001D59B4"/>
    <w:rsid w:val="001D6D6E"/>
    <w:rsid w:val="001E2543"/>
    <w:rsid w:val="001E6C60"/>
    <w:rsid w:val="001F238A"/>
    <w:rsid w:val="002171A2"/>
    <w:rsid w:val="002217D1"/>
    <w:rsid w:val="002224D3"/>
    <w:rsid w:val="00225919"/>
    <w:rsid w:val="002264B8"/>
    <w:rsid w:val="00235361"/>
    <w:rsid w:val="00235E0A"/>
    <w:rsid w:val="00236F62"/>
    <w:rsid w:val="00237D76"/>
    <w:rsid w:val="002469E4"/>
    <w:rsid w:val="00251FCE"/>
    <w:rsid w:val="00252F13"/>
    <w:rsid w:val="00254313"/>
    <w:rsid w:val="00257A5F"/>
    <w:rsid w:val="0026164C"/>
    <w:rsid w:val="0026513E"/>
    <w:rsid w:val="00271DA6"/>
    <w:rsid w:val="002729A5"/>
    <w:rsid w:val="002741CF"/>
    <w:rsid w:val="0027520B"/>
    <w:rsid w:val="00275675"/>
    <w:rsid w:val="002862C1"/>
    <w:rsid w:val="00286449"/>
    <w:rsid w:val="00287EC3"/>
    <w:rsid w:val="00293F29"/>
    <w:rsid w:val="002941D1"/>
    <w:rsid w:val="00297E39"/>
    <w:rsid w:val="002A2A12"/>
    <w:rsid w:val="002A758A"/>
    <w:rsid w:val="002C05D0"/>
    <w:rsid w:val="002C6429"/>
    <w:rsid w:val="002C6793"/>
    <w:rsid w:val="002D096D"/>
    <w:rsid w:val="002D11FE"/>
    <w:rsid w:val="002D2CB2"/>
    <w:rsid w:val="002D35EC"/>
    <w:rsid w:val="002D3FE3"/>
    <w:rsid w:val="002D42F3"/>
    <w:rsid w:val="002D5E8B"/>
    <w:rsid w:val="002E1DC6"/>
    <w:rsid w:val="002E4A97"/>
    <w:rsid w:val="002E598F"/>
    <w:rsid w:val="002E71C4"/>
    <w:rsid w:val="002F226A"/>
    <w:rsid w:val="00301DC2"/>
    <w:rsid w:val="003227FD"/>
    <w:rsid w:val="00325A55"/>
    <w:rsid w:val="003343DB"/>
    <w:rsid w:val="00336655"/>
    <w:rsid w:val="00342B3C"/>
    <w:rsid w:val="0034378C"/>
    <w:rsid w:val="00344604"/>
    <w:rsid w:val="00346554"/>
    <w:rsid w:val="003466B3"/>
    <w:rsid w:val="003503EB"/>
    <w:rsid w:val="00350767"/>
    <w:rsid w:val="00350E4B"/>
    <w:rsid w:val="003529EE"/>
    <w:rsid w:val="003533A1"/>
    <w:rsid w:val="003651DE"/>
    <w:rsid w:val="00367CB8"/>
    <w:rsid w:val="003711C0"/>
    <w:rsid w:val="00373197"/>
    <w:rsid w:val="00375E55"/>
    <w:rsid w:val="003818EE"/>
    <w:rsid w:val="0038390A"/>
    <w:rsid w:val="003A0BBF"/>
    <w:rsid w:val="003A3C08"/>
    <w:rsid w:val="003A6449"/>
    <w:rsid w:val="003A73D2"/>
    <w:rsid w:val="003B1067"/>
    <w:rsid w:val="003B3F46"/>
    <w:rsid w:val="003B4DDE"/>
    <w:rsid w:val="003B625C"/>
    <w:rsid w:val="003C0276"/>
    <w:rsid w:val="003C0C28"/>
    <w:rsid w:val="003C0F32"/>
    <w:rsid w:val="003C53E0"/>
    <w:rsid w:val="003C6CAC"/>
    <w:rsid w:val="003D3516"/>
    <w:rsid w:val="003D7D75"/>
    <w:rsid w:val="003E1394"/>
    <w:rsid w:val="003E582F"/>
    <w:rsid w:val="003E7C71"/>
    <w:rsid w:val="003F3C4C"/>
    <w:rsid w:val="00401B59"/>
    <w:rsid w:val="0040229B"/>
    <w:rsid w:val="00402BE8"/>
    <w:rsid w:val="00405CE5"/>
    <w:rsid w:val="00407101"/>
    <w:rsid w:val="0041604F"/>
    <w:rsid w:val="00427DD9"/>
    <w:rsid w:val="004317DB"/>
    <w:rsid w:val="00432C5C"/>
    <w:rsid w:val="00437C19"/>
    <w:rsid w:val="0045028F"/>
    <w:rsid w:val="00455F00"/>
    <w:rsid w:val="00461D1F"/>
    <w:rsid w:val="00470148"/>
    <w:rsid w:val="00470526"/>
    <w:rsid w:val="00470934"/>
    <w:rsid w:val="004848A4"/>
    <w:rsid w:val="004A0755"/>
    <w:rsid w:val="004A6BE3"/>
    <w:rsid w:val="004B078F"/>
    <w:rsid w:val="004B1AEF"/>
    <w:rsid w:val="004B28EF"/>
    <w:rsid w:val="004C4371"/>
    <w:rsid w:val="004C7D38"/>
    <w:rsid w:val="004D0D86"/>
    <w:rsid w:val="004D10C6"/>
    <w:rsid w:val="004D2643"/>
    <w:rsid w:val="004D294E"/>
    <w:rsid w:val="004D3D03"/>
    <w:rsid w:val="004D4586"/>
    <w:rsid w:val="004D6329"/>
    <w:rsid w:val="004E034B"/>
    <w:rsid w:val="004E17FC"/>
    <w:rsid w:val="004E274E"/>
    <w:rsid w:val="004E31D7"/>
    <w:rsid w:val="004E517F"/>
    <w:rsid w:val="004F778E"/>
    <w:rsid w:val="004F7A38"/>
    <w:rsid w:val="0050148F"/>
    <w:rsid w:val="00502F91"/>
    <w:rsid w:val="00520AAA"/>
    <w:rsid w:val="00520B2A"/>
    <w:rsid w:val="005338E4"/>
    <w:rsid w:val="00534CB5"/>
    <w:rsid w:val="0054286C"/>
    <w:rsid w:val="00543E5A"/>
    <w:rsid w:val="00545A32"/>
    <w:rsid w:val="0054645F"/>
    <w:rsid w:val="00547D03"/>
    <w:rsid w:val="005616ED"/>
    <w:rsid w:val="005629D0"/>
    <w:rsid w:val="00564A4E"/>
    <w:rsid w:val="005815B6"/>
    <w:rsid w:val="00584E85"/>
    <w:rsid w:val="005871DA"/>
    <w:rsid w:val="00587695"/>
    <w:rsid w:val="0059054D"/>
    <w:rsid w:val="0059316B"/>
    <w:rsid w:val="005949A8"/>
    <w:rsid w:val="00594D8C"/>
    <w:rsid w:val="00596D34"/>
    <w:rsid w:val="005A077D"/>
    <w:rsid w:val="005A0DBA"/>
    <w:rsid w:val="005A26BC"/>
    <w:rsid w:val="005A4320"/>
    <w:rsid w:val="005A498D"/>
    <w:rsid w:val="005A58E7"/>
    <w:rsid w:val="005B1F62"/>
    <w:rsid w:val="005C19CA"/>
    <w:rsid w:val="005C1B1D"/>
    <w:rsid w:val="005C4522"/>
    <w:rsid w:val="005D151C"/>
    <w:rsid w:val="005D49BF"/>
    <w:rsid w:val="005E415D"/>
    <w:rsid w:val="005F0ACB"/>
    <w:rsid w:val="005F30C3"/>
    <w:rsid w:val="005F7863"/>
    <w:rsid w:val="0060353B"/>
    <w:rsid w:val="00620876"/>
    <w:rsid w:val="00624FD0"/>
    <w:rsid w:val="006279F7"/>
    <w:rsid w:val="00630C5E"/>
    <w:rsid w:val="006315B4"/>
    <w:rsid w:val="00635AC3"/>
    <w:rsid w:val="00636FFB"/>
    <w:rsid w:val="006473B4"/>
    <w:rsid w:val="00652BA1"/>
    <w:rsid w:val="00654CCF"/>
    <w:rsid w:val="00661685"/>
    <w:rsid w:val="00665F82"/>
    <w:rsid w:val="0067186C"/>
    <w:rsid w:val="00671E11"/>
    <w:rsid w:val="00674F1F"/>
    <w:rsid w:val="006779DA"/>
    <w:rsid w:val="00687EB3"/>
    <w:rsid w:val="00692980"/>
    <w:rsid w:val="00693246"/>
    <w:rsid w:val="0069506F"/>
    <w:rsid w:val="00695F6D"/>
    <w:rsid w:val="00696582"/>
    <w:rsid w:val="006A07CB"/>
    <w:rsid w:val="006A1DBB"/>
    <w:rsid w:val="006A298B"/>
    <w:rsid w:val="006B4E40"/>
    <w:rsid w:val="006C103A"/>
    <w:rsid w:val="006C2A3C"/>
    <w:rsid w:val="006C4E6A"/>
    <w:rsid w:val="006C50E8"/>
    <w:rsid w:val="006C51C4"/>
    <w:rsid w:val="006D402F"/>
    <w:rsid w:val="006D464D"/>
    <w:rsid w:val="006D502B"/>
    <w:rsid w:val="006D61E1"/>
    <w:rsid w:val="006E1038"/>
    <w:rsid w:val="006E6F11"/>
    <w:rsid w:val="006F0B6B"/>
    <w:rsid w:val="006F144D"/>
    <w:rsid w:val="006F3B10"/>
    <w:rsid w:val="006F461B"/>
    <w:rsid w:val="006F622C"/>
    <w:rsid w:val="00700FF6"/>
    <w:rsid w:val="007024BB"/>
    <w:rsid w:val="00704D44"/>
    <w:rsid w:val="00713F10"/>
    <w:rsid w:val="00715A68"/>
    <w:rsid w:val="00715DD5"/>
    <w:rsid w:val="00715ECF"/>
    <w:rsid w:val="00717A04"/>
    <w:rsid w:val="00717BFE"/>
    <w:rsid w:val="007208C5"/>
    <w:rsid w:val="00725BB4"/>
    <w:rsid w:val="0073180A"/>
    <w:rsid w:val="00732997"/>
    <w:rsid w:val="007336C3"/>
    <w:rsid w:val="007343BA"/>
    <w:rsid w:val="00735033"/>
    <w:rsid w:val="00756485"/>
    <w:rsid w:val="0075705D"/>
    <w:rsid w:val="007626E1"/>
    <w:rsid w:val="00767F65"/>
    <w:rsid w:val="007707C7"/>
    <w:rsid w:val="00770D6C"/>
    <w:rsid w:val="00782FC2"/>
    <w:rsid w:val="00783515"/>
    <w:rsid w:val="00785A02"/>
    <w:rsid w:val="00787C94"/>
    <w:rsid w:val="0079106F"/>
    <w:rsid w:val="00791BCB"/>
    <w:rsid w:val="007921BD"/>
    <w:rsid w:val="00793A02"/>
    <w:rsid w:val="007947E4"/>
    <w:rsid w:val="00795C6B"/>
    <w:rsid w:val="007A1566"/>
    <w:rsid w:val="007A3995"/>
    <w:rsid w:val="007A5AC5"/>
    <w:rsid w:val="007B622D"/>
    <w:rsid w:val="007C4288"/>
    <w:rsid w:val="007C484E"/>
    <w:rsid w:val="007D21D0"/>
    <w:rsid w:val="007D4853"/>
    <w:rsid w:val="007D5002"/>
    <w:rsid w:val="007D57C4"/>
    <w:rsid w:val="007E0429"/>
    <w:rsid w:val="007E2329"/>
    <w:rsid w:val="007E41DE"/>
    <w:rsid w:val="007E4CE3"/>
    <w:rsid w:val="007E4E87"/>
    <w:rsid w:val="007E789F"/>
    <w:rsid w:val="007F2B1F"/>
    <w:rsid w:val="00802F7A"/>
    <w:rsid w:val="00806A1C"/>
    <w:rsid w:val="0080773A"/>
    <w:rsid w:val="00813322"/>
    <w:rsid w:val="008173F3"/>
    <w:rsid w:val="008179A6"/>
    <w:rsid w:val="00817D55"/>
    <w:rsid w:val="0082117C"/>
    <w:rsid w:val="008227E9"/>
    <w:rsid w:val="008252C5"/>
    <w:rsid w:val="00825EB0"/>
    <w:rsid w:val="00831860"/>
    <w:rsid w:val="00832F2D"/>
    <w:rsid w:val="00836C6A"/>
    <w:rsid w:val="00841C9F"/>
    <w:rsid w:val="0084294E"/>
    <w:rsid w:val="00843A37"/>
    <w:rsid w:val="00843EFF"/>
    <w:rsid w:val="008442A5"/>
    <w:rsid w:val="008477A9"/>
    <w:rsid w:val="0085416A"/>
    <w:rsid w:val="008542C2"/>
    <w:rsid w:val="00856B0F"/>
    <w:rsid w:val="00865FAC"/>
    <w:rsid w:val="0087186A"/>
    <w:rsid w:val="00872C56"/>
    <w:rsid w:val="00874F67"/>
    <w:rsid w:val="00876AC2"/>
    <w:rsid w:val="00883F43"/>
    <w:rsid w:val="00884C98"/>
    <w:rsid w:val="00884CE2"/>
    <w:rsid w:val="00885D5C"/>
    <w:rsid w:val="00885E7D"/>
    <w:rsid w:val="0089363F"/>
    <w:rsid w:val="00894D05"/>
    <w:rsid w:val="00896ED8"/>
    <w:rsid w:val="008A209D"/>
    <w:rsid w:val="008A2436"/>
    <w:rsid w:val="008A4E8C"/>
    <w:rsid w:val="008A563D"/>
    <w:rsid w:val="008B2121"/>
    <w:rsid w:val="008B3B0A"/>
    <w:rsid w:val="008C28AE"/>
    <w:rsid w:val="008C2BA0"/>
    <w:rsid w:val="008C49EE"/>
    <w:rsid w:val="008C69F2"/>
    <w:rsid w:val="008D1D44"/>
    <w:rsid w:val="008D3E6C"/>
    <w:rsid w:val="008E04EC"/>
    <w:rsid w:val="008E43F4"/>
    <w:rsid w:val="008E6F6D"/>
    <w:rsid w:val="008F1F87"/>
    <w:rsid w:val="008F42F6"/>
    <w:rsid w:val="008F5282"/>
    <w:rsid w:val="00904ED4"/>
    <w:rsid w:val="00910611"/>
    <w:rsid w:val="00912BAC"/>
    <w:rsid w:val="0092340B"/>
    <w:rsid w:val="00925058"/>
    <w:rsid w:val="00926CDB"/>
    <w:rsid w:val="00930113"/>
    <w:rsid w:val="009356EC"/>
    <w:rsid w:val="00937FB2"/>
    <w:rsid w:val="0094114F"/>
    <w:rsid w:val="0095690D"/>
    <w:rsid w:val="009609C5"/>
    <w:rsid w:val="00963FB7"/>
    <w:rsid w:val="00965B1A"/>
    <w:rsid w:val="00970DA1"/>
    <w:rsid w:val="00971B57"/>
    <w:rsid w:val="00975E03"/>
    <w:rsid w:val="00976933"/>
    <w:rsid w:val="00981893"/>
    <w:rsid w:val="00984974"/>
    <w:rsid w:val="00986438"/>
    <w:rsid w:val="00987DBF"/>
    <w:rsid w:val="00993D6B"/>
    <w:rsid w:val="009970F9"/>
    <w:rsid w:val="009A2E79"/>
    <w:rsid w:val="009A5590"/>
    <w:rsid w:val="009C3837"/>
    <w:rsid w:val="009C44BD"/>
    <w:rsid w:val="009C537F"/>
    <w:rsid w:val="009D0585"/>
    <w:rsid w:val="009D2BB3"/>
    <w:rsid w:val="009E0846"/>
    <w:rsid w:val="009E1EF4"/>
    <w:rsid w:val="009E1F32"/>
    <w:rsid w:val="009E4BD5"/>
    <w:rsid w:val="009F1BE0"/>
    <w:rsid w:val="009F7CED"/>
    <w:rsid w:val="00A003A9"/>
    <w:rsid w:val="00A04569"/>
    <w:rsid w:val="00A0736A"/>
    <w:rsid w:val="00A07DE7"/>
    <w:rsid w:val="00A10C89"/>
    <w:rsid w:val="00A120D6"/>
    <w:rsid w:val="00A1301A"/>
    <w:rsid w:val="00A1477C"/>
    <w:rsid w:val="00A14C37"/>
    <w:rsid w:val="00A161B9"/>
    <w:rsid w:val="00A219D7"/>
    <w:rsid w:val="00A2785C"/>
    <w:rsid w:val="00A30953"/>
    <w:rsid w:val="00A33DCF"/>
    <w:rsid w:val="00A377FE"/>
    <w:rsid w:val="00A4128C"/>
    <w:rsid w:val="00A41AEF"/>
    <w:rsid w:val="00A447B3"/>
    <w:rsid w:val="00A463DF"/>
    <w:rsid w:val="00A500DD"/>
    <w:rsid w:val="00A52C3F"/>
    <w:rsid w:val="00A55DB6"/>
    <w:rsid w:val="00A61784"/>
    <w:rsid w:val="00A64120"/>
    <w:rsid w:val="00A64671"/>
    <w:rsid w:val="00A72973"/>
    <w:rsid w:val="00A74AFD"/>
    <w:rsid w:val="00A77553"/>
    <w:rsid w:val="00A80613"/>
    <w:rsid w:val="00A83A98"/>
    <w:rsid w:val="00A85AEA"/>
    <w:rsid w:val="00A94019"/>
    <w:rsid w:val="00AA28E8"/>
    <w:rsid w:val="00AA2D71"/>
    <w:rsid w:val="00AA4B4A"/>
    <w:rsid w:val="00AB0708"/>
    <w:rsid w:val="00AB0C45"/>
    <w:rsid w:val="00AB6652"/>
    <w:rsid w:val="00AC1AF8"/>
    <w:rsid w:val="00AC447D"/>
    <w:rsid w:val="00AC597C"/>
    <w:rsid w:val="00AC7A63"/>
    <w:rsid w:val="00AD3670"/>
    <w:rsid w:val="00AD5446"/>
    <w:rsid w:val="00AD623F"/>
    <w:rsid w:val="00AE03F3"/>
    <w:rsid w:val="00AE5F1F"/>
    <w:rsid w:val="00AE6012"/>
    <w:rsid w:val="00AF5E71"/>
    <w:rsid w:val="00B13AE3"/>
    <w:rsid w:val="00B25550"/>
    <w:rsid w:val="00B30DCD"/>
    <w:rsid w:val="00B377D3"/>
    <w:rsid w:val="00B4178F"/>
    <w:rsid w:val="00B4216E"/>
    <w:rsid w:val="00B42BBD"/>
    <w:rsid w:val="00B448DC"/>
    <w:rsid w:val="00B463AC"/>
    <w:rsid w:val="00B51095"/>
    <w:rsid w:val="00B5651B"/>
    <w:rsid w:val="00B568E6"/>
    <w:rsid w:val="00B6123C"/>
    <w:rsid w:val="00B612E9"/>
    <w:rsid w:val="00B61CA6"/>
    <w:rsid w:val="00B64D04"/>
    <w:rsid w:val="00B65F1B"/>
    <w:rsid w:val="00B66D03"/>
    <w:rsid w:val="00B7000F"/>
    <w:rsid w:val="00B729FC"/>
    <w:rsid w:val="00B73206"/>
    <w:rsid w:val="00B73EC6"/>
    <w:rsid w:val="00B766E4"/>
    <w:rsid w:val="00B8326D"/>
    <w:rsid w:val="00B84AF8"/>
    <w:rsid w:val="00B937B6"/>
    <w:rsid w:val="00BA064E"/>
    <w:rsid w:val="00BA450F"/>
    <w:rsid w:val="00BB434E"/>
    <w:rsid w:val="00BB545F"/>
    <w:rsid w:val="00BD4B65"/>
    <w:rsid w:val="00BD73E2"/>
    <w:rsid w:val="00BE084F"/>
    <w:rsid w:val="00BE280C"/>
    <w:rsid w:val="00BE3A13"/>
    <w:rsid w:val="00BF054E"/>
    <w:rsid w:val="00BF0DB9"/>
    <w:rsid w:val="00C11344"/>
    <w:rsid w:val="00C12B93"/>
    <w:rsid w:val="00C134C3"/>
    <w:rsid w:val="00C24A6C"/>
    <w:rsid w:val="00C26C14"/>
    <w:rsid w:val="00C273E7"/>
    <w:rsid w:val="00C27D76"/>
    <w:rsid w:val="00C307D7"/>
    <w:rsid w:val="00C31D59"/>
    <w:rsid w:val="00C332EA"/>
    <w:rsid w:val="00C360EA"/>
    <w:rsid w:val="00C36892"/>
    <w:rsid w:val="00C4009A"/>
    <w:rsid w:val="00C401C2"/>
    <w:rsid w:val="00C454B8"/>
    <w:rsid w:val="00C46330"/>
    <w:rsid w:val="00C47F73"/>
    <w:rsid w:val="00C52A4C"/>
    <w:rsid w:val="00C52E86"/>
    <w:rsid w:val="00C6077B"/>
    <w:rsid w:val="00C61441"/>
    <w:rsid w:val="00C65C64"/>
    <w:rsid w:val="00C7294E"/>
    <w:rsid w:val="00C84330"/>
    <w:rsid w:val="00C875D0"/>
    <w:rsid w:val="00C91F90"/>
    <w:rsid w:val="00CA1FFE"/>
    <w:rsid w:val="00CA57DF"/>
    <w:rsid w:val="00CB0063"/>
    <w:rsid w:val="00CB4D37"/>
    <w:rsid w:val="00CB66F7"/>
    <w:rsid w:val="00CB74E1"/>
    <w:rsid w:val="00CB7FAA"/>
    <w:rsid w:val="00CC0C62"/>
    <w:rsid w:val="00CC259C"/>
    <w:rsid w:val="00CC42D1"/>
    <w:rsid w:val="00CC5B3E"/>
    <w:rsid w:val="00CD2E1F"/>
    <w:rsid w:val="00CD68D7"/>
    <w:rsid w:val="00CD76F3"/>
    <w:rsid w:val="00CE083D"/>
    <w:rsid w:val="00CE1A87"/>
    <w:rsid w:val="00CE5EF0"/>
    <w:rsid w:val="00CF07A0"/>
    <w:rsid w:val="00CF25EF"/>
    <w:rsid w:val="00D03C9C"/>
    <w:rsid w:val="00D04A96"/>
    <w:rsid w:val="00D0566E"/>
    <w:rsid w:val="00D05B67"/>
    <w:rsid w:val="00D05D52"/>
    <w:rsid w:val="00D07D9D"/>
    <w:rsid w:val="00D137D4"/>
    <w:rsid w:val="00D16486"/>
    <w:rsid w:val="00D24980"/>
    <w:rsid w:val="00D26D53"/>
    <w:rsid w:val="00D31F43"/>
    <w:rsid w:val="00D3253B"/>
    <w:rsid w:val="00D40E59"/>
    <w:rsid w:val="00D415E6"/>
    <w:rsid w:val="00D444C5"/>
    <w:rsid w:val="00D522FA"/>
    <w:rsid w:val="00D530DC"/>
    <w:rsid w:val="00D62023"/>
    <w:rsid w:val="00D7070F"/>
    <w:rsid w:val="00D709DD"/>
    <w:rsid w:val="00D75941"/>
    <w:rsid w:val="00D8294A"/>
    <w:rsid w:val="00D83D04"/>
    <w:rsid w:val="00D83F98"/>
    <w:rsid w:val="00D84A75"/>
    <w:rsid w:val="00D85F90"/>
    <w:rsid w:val="00D90649"/>
    <w:rsid w:val="00D91E89"/>
    <w:rsid w:val="00D9213D"/>
    <w:rsid w:val="00D92AAB"/>
    <w:rsid w:val="00D965B1"/>
    <w:rsid w:val="00D97DF9"/>
    <w:rsid w:val="00DA5339"/>
    <w:rsid w:val="00DA6526"/>
    <w:rsid w:val="00DA6C54"/>
    <w:rsid w:val="00DC54A3"/>
    <w:rsid w:val="00DD181C"/>
    <w:rsid w:val="00DD2F2C"/>
    <w:rsid w:val="00DD48D9"/>
    <w:rsid w:val="00DE1540"/>
    <w:rsid w:val="00DE17E0"/>
    <w:rsid w:val="00DE1A53"/>
    <w:rsid w:val="00DE520C"/>
    <w:rsid w:val="00DF1E66"/>
    <w:rsid w:val="00DF60FD"/>
    <w:rsid w:val="00DF6410"/>
    <w:rsid w:val="00E007F7"/>
    <w:rsid w:val="00E05F18"/>
    <w:rsid w:val="00E06A27"/>
    <w:rsid w:val="00E12202"/>
    <w:rsid w:val="00E16EBC"/>
    <w:rsid w:val="00E242C5"/>
    <w:rsid w:val="00E24673"/>
    <w:rsid w:val="00E24B39"/>
    <w:rsid w:val="00E24F26"/>
    <w:rsid w:val="00E261B4"/>
    <w:rsid w:val="00E302B0"/>
    <w:rsid w:val="00E31E85"/>
    <w:rsid w:val="00E407FF"/>
    <w:rsid w:val="00E40C34"/>
    <w:rsid w:val="00E41E2C"/>
    <w:rsid w:val="00E44207"/>
    <w:rsid w:val="00E4537C"/>
    <w:rsid w:val="00E66C57"/>
    <w:rsid w:val="00E66D00"/>
    <w:rsid w:val="00E7224C"/>
    <w:rsid w:val="00E729F2"/>
    <w:rsid w:val="00E75DBD"/>
    <w:rsid w:val="00E805D3"/>
    <w:rsid w:val="00E80826"/>
    <w:rsid w:val="00E84DA1"/>
    <w:rsid w:val="00E91332"/>
    <w:rsid w:val="00EA3045"/>
    <w:rsid w:val="00EB7FF4"/>
    <w:rsid w:val="00EC1DE8"/>
    <w:rsid w:val="00EC35AE"/>
    <w:rsid w:val="00ED4708"/>
    <w:rsid w:val="00EE0D69"/>
    <w:rsid w:val="00EE0F26"/>
    <w:rsid w:val="00EE2ABB"/>
    <w:rsid w:val="00EE39A4"/>
    <w:rsid w:val="00EF192B"/>
    <w:rsid w:val="00F04830"/>
    <w:rsid w:val="00F06B8A"/>
    <w:rsid w:val="00F07A7D"/>
    <w:rsid w:val="00F1201D"/>
    <w:rsid w:val="00F153C1"/>
    <w:rsid w:val="00F16839"/>
    <w:rsid w:val="00F211E7"/>
    <w:rsid w:val="00F21D37"/>
    <w:rsid w:val="00F221F0"/>
    <w:rsid w:val="00F25A6E"/>
    <w:rsid w:val="00F26136"/>
    <w:rsid w:val="00F2713B"/>
    <w:rsid w:val="00F305D8"/>
    <w:rsid w:val="00F37106"/>
    <w:rsid w:val="00F375F4"/>
    <w:rsid w:val="00F41858"/>
    <w:rsid w:val="00F44A2E"/>
    <w:rsid w:val="00F47D57"/>
    <w:rsid w:val="00F55DC4"/>
    <w:rsid w:val="00F55E40"/>
    <w:rsid w:val="00F576B3"/>
    <w:rsid w:val="00F66BD8"/>
    <w:rsid w:val="00F745E1"/>
    <w:rsid w:val="00F75A79"/>
    <w:rsid w:val="00F7620E"/>
    <w:rsid w:val="00F775AD"/>
    <w:rsid w:val="00F80E07"/>
    <w:rsid w:val="00F90326"/>
    <w:rsid w:val="00F90F86"/>
    <w:rsid w:val="00F92DF0"/>
    <w:rsid w:val="00FA0454"/>
    <w:rsid w:val="00FA4A9E"/>
    <w:rsid w:val="00FA5D8A"/>
    <w:rsid w:val="00FB1248"/>
    <w:rsid w:val="00FB217D"/>
    <w:rsid w:val="00FB29CC"/>
    <w:rsid w:val="00FC0522"/>
    <w:rsid w:val="00FC2DE3"/>
    <w:rsid w:val="00FD3D04"/>
    <w:rsid w:val="00FD49A0"/>
    <w:rsid w:val="00FD4A3F"/>
    <w:rsid w:val="00FD4A4D"/>
    <w:rsid w:val="00FE27DE"/>
    <w:rsid w:val="00FF6554"/>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C4DE0"/>
  <w15:chartTrackingRefBased/>
  <w15:docId w15:val="{945FE79B-04AF-489F-9D69-153AC96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067"/>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rsid w:val="00885E7D"/>
    <w:rPr>
      <w:sz w:val="16"/>
      <w:szCs w:val="16"/>
    </w:rPr>
  </w:style>
  <w:style w:type="paragraph" w:styleId="Textocomentario">
    <w:name w:val="annotation text"/>
    <w:basedOn w:val="Normal"/>
    <w:link w:val="TextocomentarioCar"/>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uiPriority w:val="39"/>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39A4"/>
    <w:rPr>
      <w:rFonts w:ascii="Arial" w:hAnsi="Arial"/>
      <w:lang w:val="es-ES" w:eastAsia="es-ES"/>
    </w:rPr>
  </w:style>
  <w:style w:type="character" w:customStyle="1" w:styleId="TextocomentarioCar">
    <w:name w:val="Texto comentario Car"/>
    <w:link w:val="Textocomentario"/>
    <w:semiHidden/>
    <w:rsid w:val="001D6D6E"/>
    <w:rPr>
      <w:rFonts w:ascii="Arial" w:hAnsi="Arial"/>
      <w:lang w:val="es-ES" w:eastAsia="es-ES"/>
    </w:rPr>
  </w:style>
  <w:style w:type="paragraph" w:styleId="Prrafodelista">
    <w:name w:val="List Paragraph"/>
    <w:aliases w:val="Segundo nivel de viñetas,Ha,Resume Title,Bullets,Lista multicolor - Énfasis 11,titulo 3,List Paragraph 1,HOJA,Bolita,Párrafo de lista4,BOLADEF,Párrafo de lista3,Párrafo de lista21,BOLA"/>
    <w:basedOn w:val="Normal"/>
    <w:link w:val="PrrafodelistaCar"/>
    <w:uiPriority w:val="72"/>
    <w:qFormat/>
    <w:rsid w:val="002E1DC6"/>
    <w:pPr>
      <w:ind w:left="720"/>
      <w:contextualSpacing/>
    </w:pPr>
  </w:style>
  <w:style w:type="character" w:customStyle="1" w:styleId="PrrafodelistaCar">
    <w:name w:val="Párrafo de lista Car"/>
    <w:aliases w:val="Segundo nivel de viñetas Car,Ha Car,Resume Title Car,Bullets Car,Lista multicolor - Énfasis 11 Car,titulo 3 Car,List Paragraph 1 Car,HOJA Car,Bolita Car,Párrafo de lista4 Car,BOLADEF Car,Párrafo de lista3 Car,Párrafo de lista21 Car"/>
    <w:link w:val="Prrafodelista"/>
    <w:uiPriority w:val="72"/>
    <w:qFormat/>
    <w:locked/>
    <w:rsid w:val="00D16486"/>
    <w:rPr>
      <w:rFonts w:ascii="Arial" w:hAnsi="Arial"/>
      <w:lang w:val="es-ES" w:eastAsia="es-ES"/>
    </w:rPr>
  </w:style>
  <w:style w:type="paragraph" w:styleId="Revisin">
    <w:name w:val="Revision"/>
    <w:hidden/>
    <w:uiPriority w:val="71"/>
    <w:rsid w:val="00F55E40"/>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0460">
      <w:bodyDiv w:val="1"/>
      <w:marLeft w:val="0"/>
      <w:marRight w:val="0"/>
      <w:marTop w:val="0"/>
      <w:marBottom w:val="0"/>
      <w:divBdr>
        <w:top w:val="none" w:sz="0" w:space="0" w:color="auto"/>
        <w:left w:val="none" w:sz="0" w:space="0" w:color="auto"/>
        <w:bottom w:val="none" w:sz="0" w:space="0" w:color="auto"/>
        <w:right w:val="none" w:sz="0" w:space="0" w:color="auto"/>
      </w:divBdr>
      <w:divsChild>
        <w:div w:id="391274029">
          <w:marLeft w:val="0"/>
          <w:marRight w:val="0"/>
          <w:marTop w:val="0"/>
          <w:marBottom w:val="0"/>
          <w:divBdr>
            <w:top w:val="none" w:sz="0" w:space="0" w:color="auto"/>
            <w:left w:val="none" w:sz="0" w:space="0" w:color="auto"/>
            <w:bottom w:val="none" w:sz="0" w:space="0" w:color="auto"/>
            <w:right w:val="none" w:sz="0" w:space="0" w:color="auto"/>
          </w:divBdr>
          <w:divsChild>
            <w:div w:id="1251354247">
              <w:marLeft w:val="0"/>
              <w:marRight w:val="0"/>
              <w:marTop w:val="0"/>
              <w:marBottom w:val="0"/>
              <w:divBdr>
                <w:top w:val="none" w:sz="0" w:space="0" w:color="auto"/>
                <w:left w:val="none" w:sz="0" w:space="0" w:color="auto"/>
                <w:bottom w:val="none" w:sz="0" w:space="0" w:color="auto"/>
                <w:right w:val="none" w:sz="0" w:space="0" w:color="auto"/>
              </w:divBdr>
              <w:divsChild>
                <w:div w:id="1007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325">
      <w:bodyDiv w:val="1"/>
      <w:marLeft w:val="0"/>
      <w:marRight w:val="0"/>
      <w:marTop w:val="0"/>
      <w:marBottom w:val="0"/>
      <w:divBdr>
        <w:top w:val="none" w:sz="0" w:space="0" w:color="auto"/>
        <w:left w:val="none" w:sz="0" w:space="0" w:color="auto"/>
        <w:bottom w:val="none" w:sz="0" w:space="0" w:color="auto"/>
        <w:right w:val="none" w:sz="0" w:space="0" w:color="auto"/>
      </w:divBdr>
    </w:div>
    <w:div w:id="296955669">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32219933">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633413814">
      <w:bodyDiv w:val="1"/>
      <w:marLeft w:val="0"/>
      <w:marRight w:val="0"/>
      <w:marTop w:val="0"/>
      <w:marBottom w:val="0"/>
      <w:divBdr>
        <w:top w:val="none" w:sz="0" w:space="0" w:color="auto"/>
        <w:left w:val="none" w:sz="0" w:space="0" w:color="auto"/>
        <w:bottom w:val="none" w:sz="0" w:space="0" w:color="auto"/>
        <w:right w:val="none" w:sz="0" w:space="0" w:color="auto"/>
      </w:divBdr>
    </w:div>
    <w:div w:id="694962482">
      <w:bodyDiv w:val="1"/>
      <w:marLeft w:val="0"/>
      <w:marRight w:val="0"/>
      <w:marTop w:val="0"/>
      <w:marBottom w:val="0"/>
      <w:divBdr>
        <w:top w:val="none" w:sz="0" w:space="0" w:color="auto"/>
        <w:left w:val="none" w:sz="0" w:space="0" w:color="auto"/>
        <w:bottom w:val="none" w:sz="0" w:space="0" w:color="auto"/>
        <w:right w:val="none" w:sz="0" w:space="0" w:color="auto"/>
      </w:divBdr>
    </w:div>
    <w:div w:id="941574453">
      <w:bodyDiv w:val="1"/>
      <w:marLeft w:val="0"/>
      <w:marRight w:val="0"/>
      <w:marTop w:val="0"/>
      <w:marBottom w:val="0"/>
      <w:divBdr>
        <w:top w:val="none" w:sz="0" w:space="0" w:color="auto"/>
        <w:left w:val="none" w:sz="0" w:space="0" w:color="auto"/>
        <w:bottom w:val="none" w:sz="0" w:space="0" w:color="auto"/>
        <w:right w:val="none" w:sz="0" w:space="0" w:color="auto"/>
      </w:divBdr>
    </w:div>
    <w:div w:id="949044918">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9984640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17187081">
      <w:bodyDiv w:val="1"/>
      <w:marLeft w:val="0"/>
      <w:marRight w:val="0"/>
      <w:marTop w:val="0"/>
      <w:marBottom w:val="0"/>
      <w:divBdr>
        <w:top w:val="none" w:sz="0" w:space="0" w:color="auto"/>
        <w:left w:val="none" w:sz="0" w:space="0" w:color="auto"/>
        <w:bottom w:val="none" w:sz="0" w:space="0" w:color="auto"/>
        <w:right w:val="none" w:sz="0" w:space="0" w:color="auto"/>
      </w:divBdr>
    </w:div>
    <w:div w:id="183841707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1315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06051C21E4BEB4AB1BF456EC2627ADD" ma:contentTypeVersion="3" ma:contentTypeDescription="Crear nuevo documento." ma:contentTypeScope="" ma:versionID="b7ab8b8fb70000de4b5a29b433b1a05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A65FJVFR3NAS-1594653859-1951</_dlc_DocId>
    <_dlc_DocIdUrl xmlns="fe5c55e1-1529-428c-8c16-ada3460a0e7a">
      <Url>http://tame/_layouts/15/DocIdRedir.aspx?ID=A65FJVFR3NAS-1594653859-1951</Url>
      <Description>A65FJVFR3NAS-1594653859-1951</Description>
    </_dlc_DocIdUrl>
  </documentManagement>
</p:properties>
</file>

<file path=customXml/itemProps1.xml><?xml version="1.0" encoding="utf-8"?>
<ds:datastoreItem xmlns:ds="http://schemas.openxmlformats.org/officeDocument/2006/customXml" ds:itemID="{35B80C85-41C6-45CE-8B92-B5229A89B182}">
  <ds:schemaRefs>
    <ds:schemaRef ds:uri="http://schemas.openxmlformats.org/officeDocument/2006/bibliography"/>
  </ds:schemaRefs>
</ds:datastoreItem>
</file>

<file path=customXml/itemProps2.xml><?xml version="1.0" encoding="utf-8"?>
<ds:datastoreItem xmlns:ds="http://schemas.openxmlformats.org/officeDocument/2006/customXml" ds:itemID="{F61267F4-8900-4F22-A8F9-6CE93CA83798}"/>
</file>

<file path=customXml/itemProps3.xml><?xml version="1.0" encoding="utf-8"?>
<ds:datastoreItem xmlns:ds="http://schemas.openxmlformats.org/officeDocument/2006/customXml" ds:itemID="{FA721D39-727A-4545-8932-10445D84345C}"/>
</file>

<file path=customXml/itemProps4.xml><?xml version="1.0" encoding="utf-8"?>
<ds:datastoreItem xmlns:ds="http://schemas.openxmlformats.org/officeDocument/2006/customXml" ds:itemID="{F15D2A25-B8E5-4190-AC9F-B6BA7B26E879}"/>
</file>

<file path=customXml/itemProps5.xml><?xml version="1.0" encoding="utf-8"?>
<ds:datastoreItem xmlns:ds="http://schemas.openxmlformats.org/officeDocument/2006/customXml" ds:itemID="{51251BE8-7CDC-4B67-9094-DE010B62E9EC}"/>
</file>

<file path=docProps/app.xml><?xml version="1.0" encoding="utf-8"?>
<Properties xmlns="http://schemas.openxmlformats.org/officeDocument/2006/extended-properties" xmlns:vt="http://schemas.openxmlformats.org/officeDocument/2006/docPropsVTypes">
  <Template>Normal</Template>
  <TotalTime>1</TotalTime>
  <Pages>12</Pages>
  <Words>5473</Words>
  <Characters>30103</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John Fredy Rodriguez Barrera</cp:lastModifiedBy>
  <cp:revision>2</cp:revision>
  <cp:lastPrinted>2019-07-08T22:30:00Z</cp:lastPrinted>
  <dcterms:created xsi:type="dcterms:W3CDTF">2022-11-18T21:23:00Z</dcterms:created>
  <dcterms:modified xsi:type="dcterms:W3CDTF">2022-11-18T21:23:00Z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0x010100806051C21E4BEB4AB1BF456EC2627ADD</vt:lpwstr>
  </property>
  <property fmtid="{D5CDD505-2E9C-101B-9397-08002B2CF9AE}" pid="7" name="_dlc_DocIdItemGuid">
    <vt:lpwstr>f4c727c6-ab3c-4d4d-95f3-98cb75abcf03</vt:lpwstr>
  </property>
</Properties>
</file>